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413" w:rsidRDefault="006B253F" w:rsidP="00FF4AD4">
      <w:pPr>
        <w:jc w:val="both"/>
      </w:pPr>
      <w:bookmarkStart w:id="0" w:name="_GoBack"/>
      <w:bookmarkEnd w:id="0"/>
      <w:r w:rsidRPr="00FF5ED5">
        <w:rPr>
          <w:b/>
          <w:bCs/>
          <w:sz w:val="23"/>
          <w:szCs w:val="23"/>
        </w:rPr>
        <w:t xml:space="preserve">AYUDAS URGENTES DE APOYO AL SECTOR DE </w:t>
      </w:r>
      <w:r>
        <w:rPr>
          <w:b/>
          <w:bCs/>
          <w:sz w:val="23"/>
          <w:szCs w:val="23"/>
        </w:rPr>
        <w:t>FLOR CORTADA Y PLANTA ORNAMENTAL</w:t>
      </w:r>
      <w:r w:rsidRPr="00FF5ED5">
        <w:rPr>
          <w:b/>
          <w:bCs/>
          <w:sz w:val="23"/>
          <w:szCs w:val="23"/>
        </w:rPr>
        <w:t>, PARA PODER HACER FRENTE AL IMPACTO ECONÓMICO Y SOCIAL DERIVADO DEL COVID-19</w:t>
      </w:r>
    </w:p>
    <w:p w:rsidR="006B253F" w:rsidRDefault="006B253F" w:rsidP="00FF4AD4">
      <w:pPr>
        <w:jc w:val="both"/>
      </w:pPr>
    </w:p>
    <w:p w:rsidR="006B253F" w:rsidRDefault="006B253F" w:rsidP="00FF4AD4">
      <w:pPr>
        <w:jc w:val="both"/>
      </w:pPr>
    </w:p>
    <w:p w:rsidR="006B253F" w:rsidRDefault="006B253F" w:rsidP="00FF4AD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El Boletín Oficial de Cantabria ha publicado este miércoles 23 de septiembre la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Orden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de la Consejería de Desarrollo Rural, Ganadería, Pesca, Alimentación y Medio Ambiente por la que se convocan </w:t>
      </w:r>
      <w:r w:rsidRPr="006B253F">
        <w:rPr>
          <w:rFonts w:asciiTheme="minorHAnsi" w:eastAsiaTheme="minorHAnsi" w:hAnsiTheme="minorHAnsi" w:cstheme="minorHAnsi"/>
          <w:sz w:val="22"/>
          <w:szCs w:val="22"/>
          <w:lang w:eastAsia="en-US"/>
        </w:rPr>
        <w:t>las</w:t>
      </w:r>
      <w:r w:rsidRPr="006B253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ayudas urgentes de apoyo al sector de flor cortada y planta ornamental, para poder hacer frente al impacto económico y social derivado del covid-19</w:t>
      </w:r>
      <w:r w:rsidRPr="006B253F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:rsidR="006B253F" w:rsidRDefault="006B253F" w:rsidP="00FF4AD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6B253F" w:rsidRDefault="006B253F" w:rsidP="00FF4AD4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Lo</w:t>
      </w:r>
      <w:r w:rsidRPr="00C07431">
        <w:rPr>
          <w:rFonts w:asciiTheme="minorHAnsi" w:hAnsiTheme="minorHAnsi" w:cstheme="minorHAnsi"/>
          <w:sz w:val="22"/>
          <w:szCs w:val="22"/>
        </w:rPr>
        <w:t>s productor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C07431">
        <w:rPr>
          <w:rFonts w:asciiTheme="minorHAnsi" w:hAnsiTheme="minorHAnsi" w:cstheme="minorHAnsi"/>
          <w:sz w:val="22"/>
          <w:szCs w:val="22"/>
        </w:rPr>
        <w:t xml:space="preserve">s de flor cortada y planta ornamental </w:t>
      </w:r>
      <w:r>
        <w:rPr>
          <w:rFonts w:asciiTheme="minorHAnsi" w:hAnsiTheme="minorHAnsi" w:cstheme="minorHAnsi"/>
          <w:sz w:val="22"/>
          <w:szCs w:val="22"/>
        </w:rPr>
        <w:t>vieron</w:t>
      </w:r>
      <w:r w:rsidRPr="00C07431">
        <w:rPr>
          <w:rFonts w:asciiTheme="minorHAnsi" w:hAnsiTheme="minorHAnsi" w:cstheme="minorHAnsi"/>
          <w:sz w:val="22"/>
          <w:szCs w:val="22"/>
        </w:rPr>
        <w:t xml:space="preserve"> imposibilitada </w:t>
      </w:r>
      <w:r>
        <w:rPr>
          <w:rFonts w:asciiTheme="minorHAnsi" w:hAnsiTheme="minorHAnsi" w:cstheme="minorHAnsi"/>
          <w:sz w:val="22"/>
          <w:szCs w:val="22"/>
        </w:rPr>
        <w:t xml:space="preserve">o muy limitada </w:t>
      </w:r>
      <w:r w:rsidRPr="00C07431">
        <w:rPr>
          <w:rFonts w:asciiTheme="minorHAnsi" w:hAnsiTheme="minorHAnsi" w:cstheme="minorHAnsi"/>
          <w:sz w:val="22"/>
          <w:szCs w:val="22"/>
        </w:rPr>
        <w:t>la comercialización de su producción, como consecuencia de las limitaciones impuestas por el estado de alarma para la gestión de la situación de crisis sanitaria ocasionada por el covid-19, y sus prórrogas.</w:t>
      </w:r>
    </w:p>
    <w:p w:rsidR="006B253F" w:rsidRDefault="006B253F" w:rsidP="00FF4AD4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B253F" w:rsidRDefault="006B253F" w:rsidP="00FF4AD4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C07431">
        <w:rPr>
          <w:rFonts w:asciiTheme="minorHAnsi" w:hAnsiTheme="minorHAnsi" w:cstheme="minorHAnsi"/>
          <w:sz w:val="22"/>
          <w:szCs w:val="22"/>
        </w:rPr>
        <w:t>anto la flor cortada como la planta ornamental, tienen una vida útil muy corta, que hace imposible su almacenamiento para posterior venta</w:t>
      </w:r>
      <w:r>
        <w:rPr>
          <w:rFonts w:asciiTheme="minorHAnsi" w:hAnsiTheme="minorHAnsi" w:cstheme="minorHAnsi"/>
          <w:sz w:val="22"/>
          <w:szCs w:val="22"/>
        </w:rPr>
        <w:t>, circunstancia que ha generado unas pérdidas muy importantes en un sector que en Cantabria lo componen fundamentalmente pequeños productores, poniendo en riesgo la viabilidad de estas explotaciones agrarias</w:t>
      </w:r>
      <w:r w:rsidRPr="00C0743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C07431">
        <w:rPr>
          <w:rFonts w:asciiTheme="minorHAnsi" w:hAnsiTheme="minorHAnsi" w:cstheme="minorHAnsi"/>
          <w:sz w:val="22"/>
          <w:szCs w:val="22"/>
        </w:rPr>
        <w:t>Además, se trata de uno de los pocos sectores agrarios que no dispone de subvenciones ni de herramientas de regulación del mercado en el marco de la Organizac</w:t>
      </w:r>
      <w:r>
        <w:rPr>
          <w:rFonts w:asciiTheme="minorHAnsi" w:hAnsiTheme="minorHAnsi" w:cstheme="minorHAnsi"/>
          <w:sz w:val="22"/>
          <w:szCs w:val="22"/>
        </w:rPr>
        <w:t>ión Común de Mercados Agrarios.</w:t>
      </w:r>
    </w:p>
    <w:p w:rsidR="006B253F" w:rsidRDefault="006B253F" w:rsidP="00FF4AD4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B253F" w:rsidRDefault="006B253F" w:rsidP="00FF4AD4">
      <w:pPr>
        <w:pStyle w:val="Normal1"/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Por ello, el Gobierno de Cantabria ha considerado necesaria la concesión en el año 2020 de una subvención a los productores del sector de flor cortada y planta ornamental de Cantabria</w:t>
      </w:r>
      <w:r w:rsidRPr="00A95BE0">
        <w:rPr>
          <w:rFonts w:asciiTheme="minorHAnsi" w:hAnsiTheme="minorHAnsi" w:cstheme="minorHAnsi"/>
          <w:sz w:val="22"/>
          <w:szCs w:val="22"/>
        </w:rPr>
        <w:t xml:space="preserve"> </w:t>
      </w:r>
      <w:r w:rsidRPr="00FF5ED5">
        <w:rPr>
          <w:rFonts w:asciiTheme="minorHAnsi" w:hAnsiTheme="minorHAnsi" w:cstheme="minorHAnsi"/>
          <w:sz w:val="22"/>
          <w:szCs w:val="22"/>
        </w:rPr>
        <w:t xml:space="preserve">destinada a paliar </w:t>
      </w:r>
      <w:r>
        <w:rPr>
          <w:rFonts w:asciiTheme="minorHAnsi" w:hAnsiTheme="minorHAnsi" w:cstheme="minorHAnsi"/>
          <w:sz w:val="22"/>
          <w:szCs w:val="22"/>
        </w:rPr>
        <w:t>su</w:t>
      </w:r>
      <w:r w:rsidRPr="00FF5ED5">
        <w:rPr>
          <w:rFonts w:asciiTheme="minorHAnsi" w:hAnsiTheme="minorHAnsi" w:cstheme="minorHAnsi"/>
          <w:sz w:val="22"/>
          <w:szCs w:val="22"/>
        </w:rPr>
        <w:t>s pérdidas de ventas derivadas de la pandemia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6B253F" w:rsidRDefault="006B253F" w:rsidP="00FF4AD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9342FC" w:rsidRDefault="009342FC" w:rsidP="00FF4AD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D72F25">
        <w:rPr>
          <w:rFonts w:asciiTheme="minorHAnsi" w:hAnsiTheme="minorHAnsi" w:cstheme="minorHAnsi"/>
          <w:sz w:val="22"/>
          <w:szCs w:val="22"/>
        </w:rPr>
        <w:t>Estas subvenciones se concederán en régimen de concurrencia competitiva</w:t>
      </w:r>
      <w:r>
        <w:rPr>
          <w:rFonts w:asciiTheme="minorHAnsi" w:hAnsiTheme="minorHAnsi" w:cstheme="minorHAnsi"/>
          <w:sz w:val="22"/>
          <w:szCs w:val="22"/>
        </w:rPr>
        <w:t xml:space="preserve"> y se destinan a minimizar las pérdidas de producción propia originadas en el periodo que abarca desde el 16 de marzo </w:t>
      </w:r>
      <w:r w:rsidRPr="009A1AA9">
        <w:rPr>
          <w:rFonts w:asciiTheme="minorHAnsi" w:hAnsiTheme="minorHAnsi" w:cstheme="minorHAnsi"/>
          <w:sz w:val="22"/>
          <w:szCs w:val="22"/>
        </w:rPr>
        <w:t>hasta el 15 de julio de 2020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9342FC" w:rsidRDefault="009342FC" w:rsidP="00FF4AD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Podrán ser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beneficiarios de las ayudas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las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persona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física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s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 jurídica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 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que sean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titulares de una explotación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que 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esté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ubicada en la Comunidad Autónoma de Cantabria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cuya orientación productiva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sea </w:t>
      </w:r>
      <w:r>
        <w:rPr>
          <w:rFonts w:asciiTheme="minorHAnsi" w:hAnsiTheme="minorHAnsi" w:cstheme="minorHAnsi"/>
          <w:sz w:val="22"/>
          <w:szCs w:val="22"/>
        </w:rPr>
        <w:t xml:space="preserve">la </w:t>
      </w:r>
      <w:r w:rsidRPr="009342FC">
        <w:rPr>
          <w:rFonts w:asciiTheme="minorHAnsi" w:hAnsiTheme="minorHAnsi" w:cstheme="minorHAnsi"/>
          <w:b/>
          <w:sz w:val="22"/>
          <w:szCs w:val="22"/>
        </w:rPr>
        <w:t xml:space="preserve">flor cortada o </w:t>
      </w:r>
      <w:r w:rsidRPr="009342FC">
        <w:rPr>
          <w:rFonts w:asciiTheme="minorHAnsi" w:hAnsiTheme="minorHAnsi" w:cstheme="minorHAnsi"/>
          <w:sz w:val="22"/>
          <w:szCs w:val="22"/>
        </w:rPr>
        <w:t>la</w:t>
      </w:r>
      <w:r w:rsidRPr="009342FC">
        <w:rPr>
          <w:rFonts w:asciiTheme="minorHAnsi" w:hAnsiTheme="minorHAnsi" w:cstheme="minorHAnsi"/>
          <w:b/>
          <w:sz w:val="22"/>
          <w:szCs w:val="22"/>
        </w:rPr>
        <w:t xml:space="preserve"> planta ornamental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y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que 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>tenga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n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declarada su actividad en el Registro de Explotaciones Agrarias de Cantabria (REA) o que sean un vivero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que esté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registrado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en el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Registro de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Operadores Profesionales de Vegetales (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ROPVEG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),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 en el antiguo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Registro Oficial de Productores</w:t>
      </w:r>
      <w:r w:rsidRPr="00CF664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Comerciantes e Importadores de Vegetales 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(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ROPCIV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)</w:t>
      </w:r>
      <w:r w:rsidRPr="00D72F25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6B253F" w:rsidRDefault="006B253F" w:rsidP="00FF4AD4">
      <w:pPr>
        <w:jc w:val="both"/>
      </w:pPr>
    </w:p>
    <w:p w:rsidR="009342FC" w:rsidRDefault="009342FC" w:rsidP="00FF4AD4">
      <w:pPr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F5E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El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importe máximo de la ayuda</w:t>
      </w:r>
      <w:r w:rsidRPr="00FF5ED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será el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50 % del impacto derivado del Covid-19</w:t>
      </w:r>
      <w:r w:rsidRPr="009C0C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entendido como la disminución de ventas de flor cortada o planta ornamental de producción propia </w:t>
      </w:r>
      <w:r w:rsidRPr="0059577B">
        <w:rPr>
          <w:rFonts w:asciiTheme="minorHAnsi" w:eastAsiaTheme="minorHAnsi" w:hAnsiTheme="minorHAnsi" w:cstheme="minorHAnsi"/>
          <w:sz w:val="22"/>
          <w:szCs w:val="22"/>
          <w:lang w:eastAsia="en-US"/>
        </w:rPr>
        <w:t>sufrida</w:t>
      </w:r>
      <w:r w:rsidRPr="009C0CF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en el año 2020 durante el periodo de referencia</w:t>
      </w:r>
      <w:r w:rsidRPr="0007399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con un </w:t>
      </w:r>
      <w:r w:rsidRPr="009342F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límite de 20.000,00 € por beneficiario</w:t>
      </w:r>
      <w:r w:rsidRPr="009F712C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9F712C" w:rsidRDefault="009F712C" w:rsidP="00FF4AD4">
      <w:pPr>
        <w:jc w:val="both"/>
      </w:pPr>
    </w:p>
    <w:p w:rsidR="00FF4AD4" w:rsidRDefault="00FF4AD4" w:rsidP="00FF4AD4">
      <w:pPr>
        <w:jc w:val="both"/>
        <w:rPr>
          <w:rFonts w:asciiTheme="minorHAnsi" w:hAnsiTheme="minorHAnsi" w:cstheme="minorHAnsi"/>
          <w:sz w:val="22"/>
          <w:szCs w:val="22"/>
        </w:rPr>
      </w:pPr>
      <w:r w:rsidRPr="00FF5ED5">
        <w:rPr>
          <w:rFonts w:asciiTheme="minorHAnsi" w:hAnsiTheme="minorHAnsi" w:cstheme="minorHAnsi"/>
          <w:sz w:val="22"/>
          <w:szCs w:val="22"/>
        </w:rPr>
        <w:t xml:space="preserve">Las </w:t>
      </w:r>
      <w:r w:rsidRPr="00FF4AD4">
        <w:rPr>
          <w:rFonts w:asciiTheme="minorHAnsi" w:hAnsiTheme="minorHAnsi" w:cstheme="minorHAnsi"/>
          <w:b/>
          <w:sz w:val="22"/>
          <w:szCs w:val="22"/>
        </w:rPr>
        <w:t>solicitudes</w:t>
      </w:r>
      <w:r w:rsidRPr="00FF5ED5">
        <w:rPr>
          <w:rFonts w:asciiTheme="minorHAnsi" w:hAnsiTheme="minorHAnsi" w:cstheme="minorHAnsi"/>
          <w:sz w:val="22"/>
          <w:szCs w:val="22"/>
        </w:rPr>
        <w:t xml:space="preserve"> de ayuda irán dirigidas al Consejero de Desarrollo Rural, Ganadería, Pesca, Alimentación y Medio Ambiente y </w:t>
      </w:r>
      <w:r w:rsidRPr="00FF4AD4">
        <w:rPr>
          <w:rFonts w:asciiTheme="minorHAnsi" w:hAnsiTheme="minorHAnsi" w:cstheme="minorHAnsi"/>
          <w:b/>
          <w:sz w:val="22"/>
          <w:szCs w:val="22"/>
        </w:rPr>
        <w:t xml:space="preserve">se presentarán en el plazo de quince días a partir del día siguiente a la publicación </w:t>
      </w:r>
      <w:r w:rsidR="00A656D9">
        <w:rPr>
          <w:rFonts w:asciiTheme="minorHAnsi" w:hAnsiTheme="minorHAnsi" w:cstheme="minorHAnsi"/>
          <w:b/>
          <w:sz w:val="22"/>
          <w:szCs w:val="22"/>
        </w:rPr>
        <w:t xml:space="preserve">del extracto </w:t>
      </w:r>
      <w:r w:rsidRPr="00FF4AD4">
        <w:rPr>
          <w:rFonts w:asciiTheme="minorHAnsi" w:hAnsiTheme="minorHAnsi" w:cstheme="minorHAnsi"/>
          <w:b/>
          <w:sz w:val="22"/>
          <w:szCs w:val="22"/>
        </w:rPr>
        <w:t>de la convocatoria en el Boletín Oficial de Cantabria</w:t>
      </w:r>
      <w:r w:rsidRPr="00FF5ED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F5ED5">
        <w:rPr>
          <w:rFonts w:asciiTheme="minorHAnsi" w:hAnsiTheme="minorHAnsi" w:cstheme="minorHAnsi"/>
          <w:sz w:val="22"/>
          <w:szCs w:val="22"/>
        </w:rPr>
        <w:t xml:space="preserve">La solicitud se podrá presentar en el Registro de la Consejería de Desarrollo Rural, Ganadería, Pesca, Alimentación y Medio Ambiente (C/ Albert Einstein, 2, PCTCAN, C.P. 39011 Santander), </w:t>
      </w:r>
      <w:r w:rsidRPr="00FF5ED5">
        <w:rPr>
          <w:rFonts w:asciiTheme="minorHAnsi" w:hAnsiTheme="minorHAnsi" w:cstheme="minorHAnsi"/>
          <w:sz w:val="22"/>
          <w:szCs w:val="22"/>
        </w:rPr>
        <w:lastRenderedPageBreak/>
        <w:t>o en cualquier otro registro o lugar de los previstos en el artículo 134.8 de la Ley 5/2018, de 22 de noviembre, de Régimen Jurídico del Gobierno, de la Administración y del Sector Público Institucional de la Comunidad Autónoma de Cantabria.</w:t>
      </w:r>
    </w:p>
    <w:p w:rsidR="00FF4AD4" w:rsidRDefault="00FF4AD4" w:rsidP="00FF4AD4">
      <w:pPr>
        <w:jc w:val="both"/>
        <w:rPr>
          <w:rFonts w:asciiTheme="minorHAnsi" w:hAnsiTheme="minorHAnsi" w:cstheme="minorHAnsi"/>
          <w:sz w:val="22"/>
          <w:szCs w:val="22"/>
        </w:rPr>
      </w:pPr>
      <w:r w:rsidRPr="000B0C7E">
        <w:rPr>
          <w:rFonts w:asciiTheme="minorHAnsi" w:hAnsiTheme="minorHAnsi" w:cstheme="minorHAnsi"/>
          <w:b/>
          <w:sz w:val="22"/>
          <w:szCs w:val="22"/>
        </w:rPr>
        <w:t>Los solicitantes cumplimentarán la solicitud (Anexo I) y los 4 anexos (II, III, IV y V)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B0C7E">
        <w:rPr>
          <w:rFonts w:asciiTheme="minorHAnsi" w:hAnsiTheme="minorHAnsi" w:cstheme="minorHAnsi"/>
          <w:sz w:val="22"/>
          <w:szCs w:val="22"/>
        </w:rPr>
        <w:t xml:space="preserve">diseñados para declarar las pérdidas sufridas y facilitar la determinación de su cuantía económica, </w:t>
      </w:r>
      <w:r w:rsidR="000B0C7E" w:rsidRPr="000B0C7E">
        <w:rPr>
          <w:rFonts w:asciiTheme="minorHAnsi" w:hAnsiTheme="minorHAnsi" w:cstheme="minorHAnsi"/>
          <w:b/>
          <w:sz w:val="22"/>
          <w:szCs w:val="22"/>
        </w:rPr>
        <w:t>acompañando la documentación requerida en la Orden o autorizando su obtención por la Administración</w:t>
      </w:r>
      <w:r w:rsidR="000B0C7E">
        <w:rPr>
          <w:rFonts w:asciiTheme="minorHAnsi" w:hAnsiTheme="minorHAnsi" w:cstheme="minorHAnsi"/>
          <w:sz w:val="22"/>
          <w:szCs w:val="22"/>
        </w:rPr>
        <w:t>.</w:t>
      </w:r>
    </w:p>
    <w:p w:rsidR="000B0C7E" w:rsidRDefault="000B0C7E" w:rsidP="00FF4AD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B0C7E" w:rsidRPr="00DA7842" w:rsidRDefault="000B0C7E" w:rsidP="000B0C7E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A7842">
        <w:rPr>
          <w:rFonts w:asciiTheme="minorHAnsi" w:eastAsiaTheme="minorHAnsi" w:hAnsiTheme="minorHAnsi" w:cstheme="minorHAnsi"/>
          <w:sz w:val="22"/>
          <w:szCs w:val="22"/>
          <w:lang w:eastAsia="en-US"/>
        </w:rPr>
        <w:t>Las ayudas s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o</w:t>
      </w:r>
      <w:r w:rsidRPr="00DA7842">
        <w:rPr>
          <w:rFonts w:asciiTheme="minorHAnsi" w:eastAsiaTheme="minorHAnsi" w:hAnsiTheme="minorHAnsi" w:cstheme="minorHAnsi"/>
          <w:sz w:val="22"/>
          <w:szCs w:val="22"/>
          <w:lang w:eastAsia="en-US"/>
        </w:rPr>
        <w:t>n compatibles con cualquier otra ayuda o subvención destinada a las mismas finalidades, procedente de cualesquiera otras Administraciones o entes públicos o privados, nacionales, de la Unión Europea o de organismo internacionales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, siempre que la suma total no exceda el coste de la actividad subvencionada</w:t>
      </w:r>
      <w:r w:rsidRPr="00DA7842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:rsidR="000B0C7E" w:rsidRPr="00FF4AD4" w:rsidRDefault="000B0C7E" w:rsidP="00FF4AD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0B0C7E" w:rsidRPr="00FF4AD4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C0" w:rsidRDefault="00DF16C0" w:rsidP="006B253F">
      <w:r>
        <w:separator/>
      </w:r>
    </w:p>
  </w:endnote>
  <w:endnote w:type="continuationSeparator" w:id="0">
    <w:p w:rsidR="00DF16C0" w:rsidRDefault="00DF16C0" w:rsidP="006B2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C0" w:rsidRDefault="00DF16C0" w:rsidP="006B253F">
      <w:r>
        <w:separator/>
      </w:r>
    </w:p>
  </w:footnote>
  <w:footnote w:type="continuationSeparator" w:id="0">
    <w:p w:rsidR="00DF16C0" w:rsidRDefault="00DF16C0" w:rsidP="006B25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0" w:type="dxa"/>
      <w:jc w:val="center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3498"/>
      <w:gridCol w:w="1880"/>
      <w:gridCol w:w="4222"/>
    </w:tblGrid>
    <w:tr w:rsidR="006B253F" w:rsidRPr="000568CC" w:rsidTr="00133EEF">
      <w:trPr>
        <w:trHeight w:val="500"/>
        <w:jc w:val="center"/>
      </w:trPr>
      <w:tc>
        <w:tcPr>
          <w:tcW w:w="3498" w:type="dxa"/>
          <w:vAlign w:val="center"/>
        </w:tcPr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  <w:r w:rsidRPr="000568CC">
            <w:rPr>
              <w:rFonts w:eastAsia="SimSun" w:cs="Arial"/>
              <w:b/>
              <w:noProof/>
            </w:rPr>
            <w:drawing>
              <wp:inline distT="0" distB="0" distL="0" distR="0" wp14:anchorId="0FF306AA" wp14:editId="79535E4D">
                <wp:extent cx="914400" cy="465455"/>
                <wp:effectExtent l="0" t="0" r="0" b="0"/>
                <wp:docPr id="3" name="Imagen 3" descr="en-color-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-color-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465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80" w:type="dxa"/>
          <w:vMerge w:val="restart"/>
          <w:shd w:val="clear" w:color="auto" w:fill="auto"/>
          <w:vAlign w:val="center"/>
        </w:tcPr>
        <w:p w:rsidR="006B253F" w:rsidRPr="000568CC" w:rsidRDefault="006B253F" w:rsidP="006B253F">
          <w:pPr>
            <w:tabs>
              <w:tab w:val="center" w:pos="4252"/>
              <w:tab w:val="right" w:pos="8504"/>
            </w:tabs>
            <w:rPr>
              <w:rFonts w:eastAsia="SimSun" w:cs="Arial"/>
              <w:lang w:eastAsia="zh-CN"/>
            </w:rPr>
          </w:pPr>
        </w:p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  <w:r w:rsidRPr="000568CC">
            <w:rPr>
              <w:rFonts w:eastAsia="SimSun"/>
              <w:noProof/>
            </w:rPr>
            <w:drawing>
              <wp:inline distT="0" distB="0" distL="0" distR="0" wp14:anchorId="0E55B92B" wp14:editId="09AD7094">
                <wp:extent cx="1104900" cy="558800"/>
                <wp:effectExtent l="0" t="0" r="0" b="0"/>
                <wp:docPr id="5" name="Imagen 5" descr="https://www.cantabria.es/documents/28617/6427995/consejeria-medio-rural.jpg/11e8cc01-1b45-4cba-ee8e-d375e9e39c28?version=1.0&amp;t=1531733117308&amp;imagePreview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https://www.cantabria.es/documents/28617/6427995/consejeria-medio-rural.jpg/11e8cc01-1b45-4cba-ee8e-d375e9e39c28?version=1.0&amp;t=1531733117308&amp;imagePreview=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32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55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</w:p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</w:p>
      </w:tc>
      <w:tc>
        <w:tcPr>
          <w:tcW w:w="4222" w:type="dxa"/>
          <w:vMerge w:val="restart"/>
          <w:shd w:val="clear" w:color="auto" w:fill="auto"/>
          <w:vAlign w:val="center"/>
        </w:tcPr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</w:p>
      </w:tc>
    </w:tr>
    <w:tr w:rsidR="006B253F" w:rsidRPr="000568CC" w:rsidTr="00133EEF">
      <w:trPr>
        <w:trHeight w:hRule="exact" w:val="741"/>
        <w:jc w:val="center"/>
      </w:trPr>
      <w:tc>
        <w:tcPr>
          <w:tcW w:w="3498" w:type="dxa"/>
        </w:tcPr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b/>
              <w:sz w:val="16"/>
              <w:szCs w:val="16"/>
              <w:lang w:eastAsia="zh-CN"/>
            </w:rPr>
          </w:pPr>
        </w:p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b/>
              <w:sz w:val="16"/>
              <w:szCs w:val="16"/>
              <w:lang w:eastAsia="zh-CN"/>
            </w:rPr>
          </w:pPr>
          <w:r w:rsidRPr="000568CC">
            <w:rPr>
              <w:rFonts w:eastAsia="SimSun" w:cs="Arial"/>
              <w:b/>
              <w:sz w:val="16"/>
              <w:szCs w:val="16"/>
              <w:lang w:eastAsia="zh-CN"/>
            </w:rPr>
            <w:t>Consejería de Desarrollo Rural, Ganadería, Pesca, Alimentación y Medio Ambiente</w:t>
          </w:r>
        </w:p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b/>
              <w:sz w:val="16"/>
              <w:szCs w:val="16"/>
              <w:lang w:eastAsia="zh-CN"/>
            </w:rPr>
          </w:pPr>
        </w:p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b/>
              <w:lang w:eastAsia="zh-CN"/>
            </w:rPr>
          </w:pPr>
        </w:p>
      </w:tc>
      <w:tc>
        <w:tcPr>
          <w:tcW w:w="1880" w:type="dxa"/>
          <w:vMerge/>
          <w:shd w:val="clear" w:color="auto" w:fill="auto"/>
          <w:vAlign w:val="center"/>
        </w:tcPr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Arial"/>
              <w:lang w:eastAsia="zh-CN"/>
            </w:rPr>
          </w:pPr>
        </w:p>
      </w:tc>
      <w:tc>
        <w:tcPr>
          <w:tcW w:w="4222" w:type="dxa"/>
          <w:vMerge/>
          <w:shd w:val="clear" w:color="auto" w:fill="auto"/>
          <w:vAlign w:val="center"/>
        </w:tcPr>
        <w:p w:rsidR="006B253F" w:rsidRPr="000568CC" w:rsidRDefault="006B253F" w:rsidP="006B253F">
          <w:pPr>
            <w:tabs>
              <w:tab w:val="center" w:pos="4252"/>
              <w:tab w:val="right" w:pos="8504"/>
            </w:tabs>
            <w:jc w:val="center"/>
            <w:rPr>
              <w:rFonts w:eastAsia="SimSun" w:cs="Tahoma"/>
              <w:lang w:eastAsia="zh-CN"/>
            </w:rPr>
          </w:pPr>
        </w:p>
      </w:tc>
    </w:tr>
  </w:tbl>
  <w:p w:rsidR="006B253F" w:rsidRDefault="006B253F">
    <w:pPr>
      <w:pStyle w:val="Encabezado"/>
    </w:pPr>
  </w:p>
  <w:p w:rsidR="006B253F" w:rsidRDefault="006B25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53F"/>
    <w:rsid w:val="000B0C7E"/>
    <w:rsid w:val="00336A4D"/>
    <w:rsid w:val="005F493B"/>
    <w:rsid w:val="006B253F"/>
    <w:rsid w:val="00840EDE"/>
    <w:rsid w:val="009342FC"/>
    <w:rsid w:val="009F712C"/>
    <w:rsid w:val="00A656D9"/>
    <w:rsid w:val="00AC1116"/>
    <w:rsid w:val="00DF16C0"/>
    <w:rsid w:val="00F23C46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basedOn w:val="Normal"/>
    <w:rsid w:val="006B253F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6B25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B253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B25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B253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56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56D9"/>
    <w:rPr>
      <w:rFonts w:ascii="Tahoma" w:eastAsia="Times New Roman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basedOn w:val="Normal"/>
    <w:rsid w:val="006B253F"/>
    <w:pPr>
      <w:spacing w:before="100" w:beforeAutospacing="1" w:after="100" w:afterAutospacing="1"/>
    </w:pPr>
  </w:style>
  <w:style w:type="paragraph" w:styleId="Encabezado">
    <w:name w:val="header"/>
    <w:basedOn w:val="Normal"/>
    <w:link w:val="EncabezadoCar"/>
    <w:uiPriority w:val="99"/>
    <w:unhideWhenUsed/>
    <w:rsid w:val="006B25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B253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B25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B253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56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56D9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5.jpg@01D41F39.B26557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Lombera Cagigas José Manuel</dc:creator>
  <cp:lastModifiedBy>Usuario</cp:lastModifiedBy>
  <cp:revision>2</cp:revision>
  <dcterms:created xsi:type="dcterms:W3CDTF">2020-09-24T10:48:00Z</dcterms:created>
  <dcterms:modified xsi:type="dcterms:W3CDTF">2020-09-24T10:48:00Z</dcterms:modified>
</cp:coreProperties>
</file>