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EB6" w:rsidRDefault="00CA5EB6" w:rsidP="00CA5EB6">
      <w:pPr>
        <w:framePr w:hSpace="141" w:wrap="around" w:vAnchor="text" w:hAnchor="page" w:x="7492" w:y="-356"/>
      </w:pPr>
    </w:p>
    <w:p w:rsidR="00185D70" w:rsidRPr="007763BA" w:rsidRDefault="00670CA1" w:rsidP="00185D70">
      <w:pPr>
        <w:pStyle w:val="Piedepgina"/>
        <w:tabs>
          <w:tab w:val="clear" w:pos="4252"/>
          <w:tab w:val="clear" w:pos="8504"/>
        </w:tabs>
        <w:ind w:right="-1561"/>
        <w:outlineLvl w:val="0"/>
        <w:rPr>
          <w:rFonts w:ascii="Arial Narrow" w:hAnsi="Arial Narrow"/>
          <w:sz w:val="24"/>
        </w:rPr>
      </w:pPr>
      <w:r>
        <w:rPr>
          <w:rFonts w:ascii="Arial Narrow" w:hAnsi="Arial Narrow"/>
          <w:noProof/>
          <w:sz w:val="24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4405768</wp:posOffset>
            </wp:positionH>
            <wp:positionV relativeFrom="paragraph">
              <wp:posOffset>-1905</wp:posOffset>
            </wp:positionV>
            <wp:extent cx="1149985" cy="564515"/>
            <wp:effectExtent l="0" t="0" r="0" b="698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jubilar_horiz_c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98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A7C" w:rsidRPr="007763BA">
        <w:rPr>
          <w:rFonts w:ascii="Arial Narrow" w:hAnsi="Arial Narrow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-351790</wp:posOffset>
                </wp:positionV>
                <wp:extent cx="548640" cy="914400"/>
                <wp:effectExtent l="1905" t="0" r="1905" b="444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5D70" w:rsidRDefault="00185D70" w:rsidP="00185D70">
                            <w:pPr>
                              <w:ind w:firstLine="1134"/>
                              <w:rPr>
                                <w:lang w:val="es-ES_tradnl"/>
                              </w:rPr>
                            </w:pPr>
                          </w:p>
                          <w:p w:rsidR="00185D70" w:rsidRDefault="008C0A7C" w:rsidP="00185D70">
                            <w:pPr>
                              <w:pStyle w:val="Piedepgina"/>
                              <w:tabs>
                                <w:tab w:val="clear" w:pos="4252"/>
                                <w:tab w:val="clear" w:pos="8504"/>
                              </w:tabs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61950" cy="666750"/>
                                  <wp:effectExtent l="0" t="0" r="0" b="0"/>
                                  <wp:docPr id="2" name="Imagen 2" descr="Escudo Cantabri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Escudo Cantabri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195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35pt;margin-top:-27.7pt;width:43.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FD2gAIAAA4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" o:allowincell="f" stroked="f">
                <v:textbox>
                  <w:txbxContent>
                    <w:p w:rsidR="00185D70" w:rsidRDefault="00185D70" w:rsidP="00185D70">
                      <w:pPr>
                        <w:ind w:firstLine="1134"/>
                        <w:rPr>
                          <w:lang w:val="es-ES_tradnl"/>
                        </w:rPr>
                      </w:pPr>
                    </w:p>
                    <w:p w:rsidR="00185D70" w:rsidRDefault="008C0A7C" w:rsidP="00185D70">
                      <w:pPr>
                        <w:pStyle w:val="Piedepgina"/>
                        <w:tabs>
                          <w:tab w:val="clear" w:pos="4252"/>
                          <w:tab w:val="clear" w:pos="8504"/>
                        </w:tabs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61950" cy="666750"/>
                            <wp:effectExtent l="0" t="0" r="0" b="0"/>
                            <wp:docPr id="2" name="Imagen 2" descr="Escudo Cantabri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Escudo Cantabri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195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85D70" w:rsidRPr="007763BA">
        <w:rPr>
          <w:rFonts w:ascii="Arial Narrow" w:hAnsi="Arial Narrow"/>
          <w:b/>
          <w:sz w:val="24"/>
        </w:rPr>
        <w:t xml:space="preserve">GOBIERNO </w:t>
      </w:r>
    </w:p>
    <w:p w:rsidR="00185D70" w:rsidRPr="007763BA" w:rsidRDefault="00185D70" w:rsidP="00185D70">
      <w:pPr>
        <w:pStyle w:val="Piedepgina"/>
        <w:tabs>
          <w:tab w:val="clear" w:pos="4252"/>
          <w:tab w:val="clear" w:pos="8504"/>
        </w:tabs>
        <w:outlineLvl w:val="0"/>
        <w:rPr>
          <w:rFonts w:ascii="Arial Narrow" w:hAnsi="Arial Narrow"/>
          <w:sz w:val="24"/>
          <w:lang w:val="es-ES_tradnl"/>
        </w:rPr>
      </w:pPr>
      <w:r w:rsidRPr="007763BA">
        <w:rPr>
          <w:rFonts w:ascii="Arial Narrow" w:hAnsi="Arial Narrow"/>
          <w:b/>
          <w:sz w:val="24"/>
          <w:lang w:val="es-ES_tradnl"/>
        </w:rPr>
        <w:t xml:space="preserve">DE </w:t>
      </w:r>
      <w:r w:rsidRPr="007763BA">
        <w:rPr>
          <w:rFonts w:ascii="Arial Narrow" w:hAnsi="Arial Narrow"/>
          <w:sz w:val="24"/>
          <w:lang w:val="es-ES_tradnl"/>
        </w:rPr>
        <w:tab/>
      </w:r>
    </w:p>
    <w:p w:rsidR="00185D70" w:rsidRPr="007763BA" w:rsidRDefault="00185D70" w:rsidP="00185D70">
      <w:pPr>
        <w:pStyle w:val="Piedepgina"/>
        <w:tabs>
          <w:tab w:val="clear" w:pos="4252"/>
          <w:tab w:val="clear" w:pos="8504"/>
        </w:tabs>
        <w:outlineLvl w:val="0"/>
        <w:rPr>
          <w:rFonts w:ascii="Arial Narrow" w:hAnsi="Arial Narrow"/>
          <w:sz w:val="24"/>
          <w:lang w:val="es-ES_tradnl"/>
        </w:rPr>
      </w:pPr>
      <w:r w:rsidRPr="007763BA">
        <w:rPr>
          <w:rFonts w:ascii="Arial Narrow" w:hAnsi="Arial Narrow"/>
          <w:b/>
          <w:sz w:val="24"/>
          <w:lang w:val="es-ES_tradnl"/>
        </w:rPr>
        <w:t>CANTABRIA</w:t>
      </w:r>
      <w:r w:rsidRPr="007763BA">
        <w:rPr>
          <w:rFonts w:ascii="Arial Narrow" w:hAnsi="Arial Narrow"/>
          <w:sz w:val="24"/>
          <w:lang w:val="es-ES_tradnl"/>
        </w:rPr>
        <w:tab/>
      </w:r>
    </w:p>
    <w:p w:rsidR="00185D70" w:rsidRPr="007763BA" w:rsidRDefault="00185D70" w:rsidP="00185D70">
      <w:pPr>
        <w:pStyle w:val="Piedepgina"/>
        <w:tabs>
          <w:tab w:val="clear" w:pos="4252"/>
          <w:tab w:val="clear" w:pos="8504"/>
        </w:tabs>
        <w:ind w:left="-567"/>
        <w:rPr>
          <w:rFonts w:ascii="Arial Narrow" w:hAnsi="Arial Narrow"/>
          <w:b/>
          <w:sz w:val="24"/>
          <w:lang w:val="es-ES_tradnl"/>
        </w:rPr>
      </w:pPr>
    </w:p>
    <w:p w:rsidR="00185D70" w:rsidRPr="007763BA" w:rsidRDefault="00185D70" w:rsidP="00185D70">
      <w:pPr>
        <w:pStyle w:val="Piedepgina"/>
        <w:tabs>
          <w:tab w:val="clear" w:pos="4252"/>
          <w:tab w:val="clear" w:pos="8504"/>
        </w:tabs>
        <w:rPr>
          <w:b/>
          <w:lang w:val="es-ES_tradnl"/>
        </w:rPr>
      </w:pPr>
      <w:r w:rsidRPr="007763BA">
        <w:rPr>
          <w:b/>
          <w:lang w:val="es-ES_tradnl"/>
        </w:rPr>
        <w:t>CONSEJERIA DE ECONOMIA, HACIENDA Y EMPLEO.</w:t>
      </w:r>
    </w:p>
    <w:p w:rsidR="00CD7A9E" w:rsidRDefault="00CD7A9E" w:rsidP="00CD7A9E">
      <w:pPr>
        <w:pStyle w:val="Piedepgina"/>
        <w:tabs>
          <w:tab w:val="clear" w:pos="4252"/>
          <w:tab w:val="clear" w:pos="8504"/>
        </w:tabs>
        <w:rPr>
          <w:b/>
          <w:lang w:val="es-ES_tradnl"/>
        </w:rPr>
      </w:pPr>
    </w:p>
    <w:p w:rsidR="00CD7A9E" w:rsidRPr="00B10CB8" w:rsidRDefault="00CD7A9E" w:rsidP="00CD7A9E">
      <w:pPr>
        <w:pStyle w:val="Piedepgina"/>
        <w:tabs>
          <w:tab w:val="clear" w:pos="4252"/>
          <w:tab w:val="clear" w:pos="8504"/>
        </w:tabs>
        <w:ind w:right="-852"/>
        <w:rPr>
          <w:rFonts w:ascii="Verdana" w:hAnsi="Verdana"/>
          <w:b/>
          <w:sz w:val="22"/>
          <w:szCs w:val="22"/>
          <w:lang w:val="es-ES_tradnl"/>
        </w:rPr>
      </w:pPr>
    </w:p>
    <w:p w:rsidR="00CD7A9E" w:rsidRPr="00B10CB8" w:rsidRDefault="00CD7A9E" w:rsidP="00CD7A9E">
      <w:pPr>
        <w:ind w:right="-2"/>
        <w:jc w:val="both"/>
        <w:rPr>
          <w:rFonts w:ascii="Verdana" w:hAnsi="Verdana"/>
          <w:b/>
          <w:iCs/>
          <w:sz w:val="22"/>
          <w:szCs w:val="22"/>
        </w:rPr>
      </w:pPr>
      <w:r w:rsidRPr="00D55AC7">
        <w:rPr>
          <w:rFonts w:ascii="Verdana" w:hAnsi="Verdana"/>
          <w:b/>
          <w:iCs/>
          <w:sz w:val="22"/>
          <w:szCs w:val="22"/>
        </w:rPr>
        <w:t xml:space="preserve">Orden </w:t>
      </w:r>
      <w:proofErr w:type="spellStart"/>
      <w:r w:rsidRPr="00D55AC7">
        <w:rPr>
          <w:rFonts w:ascii="Verdana" w:hAnsi="Verdana"/>
          <w:b/>
          <w:iCs/>
          <w:sz w:val="22"/>
          <w:szCs w:val="22"/>
        </w:rPr>
        <w:t>HAC</w:t>
      </w:r>
      <w:proofErr w:type="spellEnd"/>
      <w:r w:rsidRPr="00D55AC7">
        <w:rPr>
          <w:rFonts w:ascii="Verdana" w:hAnsi="Verdana"/>
          <w:b/>
          <w:iCs/>
          <w:sz w:val="22"/>
          <w:szCs w:val="22"/>
        </w:rPr>
        <w:t>/</w:t>
      </w:r>
      <w:r w:rsidR="00243B2E">
        <w:rPr>
          <w:rFonts w:ascii="Verdana" w:hAnsi="Verdana"/>
          <w:b/>
          <w:iCs/>
          <w:sz w:val="22"/>
          <w:szCs w:val="22"/>
        </w:rPr>
        <w:t>41</w:t>
      </w:r>
      <w:r w:rsidRPr="00D55AC7">
        <w:rPr>
          <w:rFonts w:ascii="Verdana" w:hAnsi="Verdana"/>
          <w:b/>
          <w:iCs/>
          <w:sz w:val="22"/>
          <w:szCs w:val="22"/>
        </w:rPr>
        <w:t>/201</w:t>
      </w:r>
      <w:r w:rsidR="00042444">
        <w:rPr>
          <w:rFonts w:ascii="Verdana" w:hAnsi="Verdana"/>
          <w:b/>
          <w:iCs/>
          <w:sz w:val="22"/>
          <w:szCs w:val="22"/>
        </w:rPr>
        <w:t>9</w:t>
      </w:r>
      <w:r w:rsidRPr="00D55AC7">
        <w:rPr>
          <w:rFonts w:ascii="Verdana" w:hAnsi="Verdana"/>
          <w:b/>
          <w:iCs/>
          <w:sz w:val="22"/>
          <w:szCs w:val="22"/>
        </w:rPr>
        <w:t>, de</w:t>
      </w:r>
      <w:r w:rsidR="00C7139F">
        <w:rPr>
          <w:rFonts w:ascii="Verdana" w:hAnsi="Verdana"/>
          <w:b/>
          <w:iCs/>
          <w:sz w:val="22"/>
          <w:szCs w:val="22"/>
        </w:rPr>
        <w:t xml:space="preserve"> </w:t>
      </w:r>
      <w:r w:rsidR="00243B2E">
        <w:rPr>
          <w:rFonts w:ascii="Verdana" w:hAnsi="Verdana"/>
          <w:b/>
          <w:iCs/>
          <w:sz w:val="22"/>
          <w:szCs w:val="22"/>
        </w:rPr>
        <w:t>26</w:t>
      </w:r>
      <w:r w:rsidRPr="00D55AC7">
        <w:rPr>
          <w:rFonts w:ascii="Verdana" w:hAnsi="Verdana"/>
          <w:b/>
          <w:iCs/>
          <w:sz w:val="22"/>
          <w:szCs w:val="22"/>
        </w:rPr>
        <w:t xml:space="preserve"> de</w:t>
      </w:r>
      <w:r w:rsidR="00C7139F">
        <w:rPr>
          <w:rFonts w:ascii="Verdana" w:hAnsi="Verdana"/>
          <w:b/>
          <w:iCs/>
          <w:sz w:val="22"/>
          <w:szCs w:val="22"/>
        </w:rPr>
        <w:t xml:space="preserve"> </w:t>
      </w:r>
      <w:r w:rsidR="00243B2E">
        <w:rPr>
          <w:rFonts w:ascii="Verdana" w:hAnsi="Verdana"/>
          <w:b/>
          <w:iCs/>
          <w:sz w:val="22"/>
          <w:szCs w:val="22"/>
        </w:rPr>
        <w:t>septiembre</w:t>
      </w:r>
      <w:r w:rsidRPr="00D55AC7">
        <w:rPr>
          <w:rFonts w:ascii="Verdana" w:hAnsi="Verdana"/>
          <w:b/>
          <w:iCs/>
          <w:sz w:val="22"/>
          <w:szCs w:val="22"/>
        </w:rPr>
        <w:t xml:space="preserve">, por la que se convocan </w:t>
      </w:r>
      <w:r w:rsidR="00042444">
        <w:rPr>
          <w:rFonts w:ascii="Verdana" w:hAnsi="Verdana"/>
          <w:b/>
          <w:iCs/>
          <w:sz w:val="22"/>
          <w:szCs w:val="22"/>
        </w:rPr>
        <w:t>dos</w:t>
      </w:r>
      <w:r w:rsidRPr="00D55AC7">
        <w:rPr>
          <w:rFonts w:ascii="Verdana" w:hAnsi="Verdana"/>
          <w:b/>
          <w:iCs/>
          <w:sz w:val="22"/>
          <w:szCs w:val="22"/>
        </w:rPr>
        <w:t xml:space="preserve"> becas de formación práctica en el Instituto Cántabro de Estadística.</w:t>
      </w:r>
      <w:r w:rsidRPr="00B10CB8">
        <w:rPr>
          <w:rFonts w:ascii="Verdana" w:hAnsi="Verdana"/>
          <w:b/>
          <w:iCs/>
          <w:sz w:val="22"/>
          <w:szCs w:val="22"/>
        </w:rPr>
        <w:t xml:space="preserve"> </w:t>
      </w:r>
    </w:p>
    <w:p w:rsidR="00CD7A9E" w:rsidRPr="00B10CB8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B10CB8" w:rsidRDefault="00CD7A9E" w:rsidP="00CD7A9E">
      <w:pPr>
        <w:pStyle w:val="NormalWeb"/>
        <w:spacing w:before="0" w:beforeAutospacing="0" w:after="0" w:afterAutospacing="0" w:line="260" w:lineRule="exact"/>
        <w:jc w:val="center"/>
        <w:rPr>
          <w:rFonts w:ascii="Verdana" w:hAnsi="Verdana"/>
          <w:b/>
          <w:sz w:val="22"/>
          <w:szCs w:val="22"/>
        </w:rPr>
      </w:pPr>
      <w:r w:rsidRPr="00B10CB8">
        <w:rPr>
          <w:rFonts w:ascii="Verdana" w:hAnsi="Verdana"/>
          <w:b/>
          <w:sz w:val="22"/>
          <w:szCs w:val="22"/>
        </w:rPr>
        <w:t>EXPOSICIÓN DE MOTIVOS</w:t>
      </w:r>
    </w:p>
    <w:p w:rsidR="00CD7A9E" w:rsidRPr="00B10CB8" w:rsidRDefault="00CD7A9E" w:rsidP="00CD7A9E">
      <w:pPr>
        <w:pStyle w:val="NormalWeb"/>
        <w:spacing w:before="0" w:beforeAutospacing="0" w:after="0" w:afterAutospacing="0" w:line="260" w:lineRule="exact"/>
        <w:jc w:val="center"/>
        <w:rPr>
          <w:rFonts w:ascii="Verdana" w:hAnsi="Verdana"/>
          <w:sz w:val="22"/>
          <w:szCs w:val="22"/>
        </w:rPr>
      </w:pP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7763B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7763BA">
        <w:rPr>
          <w:rFonts w:ascii="Verdana" w:hAnsi="Verdana"/>
          <w:sz w:val="22"/>
          <w:szCs w:val="22"/>
        </w:rPr>
        <w:t xml:space="preserve">La estadística es una ciencia multidisciplinar que se aplica a distintos campos del conocimiento y como tal, la formación universitaria debe ser completada con unos conocimientos prácticos que un instituto estadístico, por su naturaleza, puede proporcionar a distintos titulados universitarios en las áreas de </w:t>
      </w:r>
      <w:r w:rsidRPr="006A4DA1">
        <w:rPr>
          <w:rFonts w:ascii="Verdana" w:hAnsi="Verdana"/>
          <w:sz w:val="22"/>
          <w:szCs w:val="22"/>
        </w:rPr>
        <w:t>la economía</w:t>
      </w:r>
      <w:r w:rsidR="00042444" w:rsidRPr="006A4DA1">
        <w:rPr>
          <w:rFonts w:ascii="Verdana" w:hAnsi="Verdana"/>
          <w:sz w:val="22"/>
          <w:szCs w:val="22"/>
        </w:rPr>
        <w:t>, la demografía</w:t>
      </w:r>
      <w:r w:rsidRPr="006A4DA1">
        <w:rPr>
          <w:rFonts w:ascii="Verdana" w:hAnsi="Verdana"/>
          <w:sz w:val="22"/>
          <w:szCs w:val="22"/>
        </w:rPr>
        <w:t xml:space="preserve"> y la informática</w:t>
      </w:r>
      <w:r w:rsidRPr="007763BA">
        <w:rPr>
          <w:rFonts w:ascii="Verdana" w:hAnsi="Verdana"/>
          <w:sz w:val="22"/>
          <w:szCs w:val="22"/>
        </w:rPr>
        <w:t xml:space="preserve"> aplicadas a la investigación estadística.</w:t>
      </w:r>
    </w:p>
    <w:p w:rsidR="00CD7A9E" w:rsidRPr="007763B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7763B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7763BA">
        <w:rPr>
          <w:rFonts w:ascii="Verdana" w:hAnsi="Verdana"/>
          <w:sz w:val="22"/>
          <w:szCs w:val="22"/>
        </w:rPr>
        <w:t xml:space="preserve">El Instituto Cántabro de Estadística (en adelante ICANE) es un organismo autónomo de carácter administrativo de </w:t>
      </w:r>
      <w:smartTag w:uri="urn:schemas-microsoft-com:office:smarttags" w:element="PersonName">
        <w:smartTagPr>
          <w:attr w:name="ProductID" w:val="la Comunidad Aut￳noma"/>
        </w:smartTagPr>
        <w:r w:rsidRPr="007763BA">
          <w:rPr>
            <w:rFonts w:ascii="Verdana" w:hAnsi="Verdana"/>
            <w:sz w:val="22"/>
            <w:szCs w:val="22"/>
          </w:rPr>
          <w:t>la Comunidad Autónoma</w:t>
        </w:r>
      </w:smartTag>
      <w:r w:rsidRPr="007763BA">
        <w:rPr>
          <w:rFonts w:ascii="Verdana" w:hAnsi="Verdana"/>
          <w:sz w:val="22"/>
          <w:szCs w:val="22"/>
        </w:rPr>
        <w:t xml:space="preserve"> de Cantabria, adscrito a </w:t>
      </w:r>
      <w:smartTag w:uri="urn:schemas-microsoft-com:office:smarttags" w:element="PersonName">
        <w:smartTagPr>
          <w:attr w:name="ProductID" w:val="la Consejer￭a"/>
        </w:smartTagPr>
        <w:r w:rsidRPr="007763BA">
          <w:rPr>
            <w:rFonts w:ascii="Verdana" w:hAnsi="Verdana"/>
            <w:sz w:val="22"/>
            <w:szCs w:val="22"/>
          </w:rPr>
          <w:t>la Consejería</w:t>
        </w:r>
      </w:smartTag>
      <w:r w:rsidRPr="007763BA">
        <w:rPr>
          <w:rFonts w:ascii="Verdana" w:hAnsi="Verdana"/>
          <w:sz w:val="22"/>
          <w:szCs w:val="22"/>
        </w:rPr>
        <w:t xml:space="preserve"> de Economía, Hacienda y Empleo. El ICANE tiene personalidad jurídica y patrimonio propio y plena capacidad de obrar para el ejercicio de sus competencias. En el Decreto 3/2005, de 13 de enero, por el que se aprueban los Estatutos del Instituto Cántabro de Estadística se señala como una de sus competencias el</w:t>
      </w:r>
      <w:r w:rsidRPr="007763BA">
        <w:rPr>
          <w:rFonts w:ascii="Verdana" w:hAnsi="Verdana"/>
          <w:i/>
          <w:sz w:val="22"/>
          <w:szCs w:val="22"/>
        </w:rPr>
        <w:t xml:space="preserve"> fomento de la formación y especialización del personal estadístico, a efectos de homogeneización de las metodologías de los trabajos estadísticos</w:t>
      </w:r>
      <w:r w:rsidRPr="007763BA">
        <w:rPr>
          <w:rFonts w:ascii="Verdana" w:hAnsi="Verdana"/>
          <w:sz w:val="22"/>
          <w:szCs w:val="22"/>
        </w:rPr>
        <w:t xml:space="preserve">. </w:t>
      </w:r>
      <w:r w:rsidR="00E7691B" w:rsidRPr="007763BA">
        <w:rPr>
          <w:rFonts w:ascii="Verdana" w:hAnsi="Verdana"/>
          <w:sz w:val="22"/>
          <w:szCs w:val="22"/>
        </w:rPr>
        <w:t>Además,</w:t>
      </w:r>
      <w:r w:rsidRPr="007763BA">
        <w:rPr>
          <w:rFonts w:ascii="Verdana" w:hAnsi="Verdana"/>
          <w:sz w:val="22"/>
          <w:szCs w:val="22"/>
        </w:rPr>
        <w:t xml:space="preserve"> en el Artículo 2.2 se recoge </w:t>
      </w:r>
      <w:r w:rsidR="00E7691B" w:rsidRPr="007763BA">
        <w:rPr>
          <w:rFonts w:ascii="Verdana" w:hAnsi="Verdana"/>
          <w:sz w:val="22"/>
          <w:szCs w:val="22"/>
        </w:rPr>
        <w:t>que,</w:t>
      </w:r>
      <w:r w:rsidRPr="007763BA">
        <w:rPr>
          <w:rFonts w:ascii="Verdana" w:hAnsi="Verdana"/>
          <w:i/>
          <w:sz w:val="22"/>
          <w:szCs w:val="22"/>
        </w:rPr>
        <w:t xml:space="preserve"> en el ejercicio de sus competencias, el Instituto podrá convocar y otorgar becas, ayudas y otras medidas de fomento, destinadas a favorecer </w:t>
      </w:r>
      <w:smartTag w:uri="urn:schemas-microsoft-com:office:smarttags" w:element="PersonName">
        <w:smartTagPr>
          <w:attr w:name="ProductID" w:val="la investigaci￳n"/>
        </w:smartTagPr>
        <w:r w:rsidRPr="007763BA">
          <w:rPr>
            <w:rFonts w:ascii="Verdana" w:hAnsi="Verdana"/>
            <w:i/>
            <w:sz w:val="22"/>
            <w:szCs w:val="22"/>
          </w:rPr>
          <w:t>la investigación</w:t>
        </w:r>
      </w:smartTag>
      <w:r w:rsidRPr="007763BA">
        <w:rPr>
          <w:rFonts w:ascii="Verdana" w:hAnsi="Verdana"/>
          <w:i/>
          <w:sz w:val="22"/>
          <w:szCs w:val="22"/>
        </w:rPr>
        <w:t xml:space="preserve">, la docencia, la difusión y el conocimiento de la actividad y la producción estadística de </w:t>
      </w:r>
      <w:smartTag w:uri="urn:schemas-microsoft-com:office:smarttags" w:element="PersonName">
        <w:smartTagPr>
          <w:attr w:name="ProductID" w:val="la Administraci￳n P￺blica"/>
        </w:smartTagPr>
        <w:r w:rsidRPr="007763BA">
          <w:rPr>
            <w:rFonts w:ascii="Verdana" w:hAnsi="Verdana"/>
            <w:i/>
            <w:sz w:val="22"/>
            <w:szCs w:val="22"/>
          </w:rPr>
          <w:t>la Administración Pública</w:t>
        </w:r>
      </w:smartTag>
      <w:r w:rsidRPr="007763BA">
        <w:rPr>
          <w:rFonts w:ascii="Verdana" w:hAnsi="Verdana"/>
          <w:i/>
          <w:sz w:val="22"/>
          <w:szCs w:val="22"/>
        </w:rPr>
        <w:t xml:space="preserve"> del Gobierno de Cantabria</w:t>
      </w:r>
      <w:r w:rsidRPr="007763BA">
        <w:rPr>
          <w:rFonts w:ascii="Verdana" w:hAnsi="Verdana"/>
          <w:sz w:val="22"/>
          <w:szCs w:val="22"/>
        </w:rPr>
        <w:t>.</w:t>
      </w:r>
    </w:p>
    <w:p w:rsidR="00CD7A9E" w:rsidRPr="007763B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7763B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Para el fomento de dicha formación se considera conveniente la convocatoria de becas, en régimen </w:t>
      </w:r>
      <w:r w:rsidR="00E94DAE">
        <w:rPr>
          <w:rFonts w:ascii="Verdana" w:hAnsi="Verdana"/>
          <w:sz w:val="22"/>
          <w:szCs w:val="22"/>
        </w:rPr>
        <w:t xml:space="preserve">de concurrencia </w:t>
      </w:r>
      <w:r w:rsidRPr="002836A4">
        <w:rPr>
          <w:rFonts w:ascii="Verdana" w:hAnsi="Verdana"/>
          <w:sz w:val="22"/>
          <w:szCs w:val="22"/>
        </w:rPr>
        <w:t xml:space="preserve">competitiva, que permita a los titulados que estén interesados </w:t>
      </w:r>
      <w:r w:rsidRPr="00C31F76">
        <w:rPr>
          <w:rFonts w:ascii="Verdana" w:hAnsi="Verdana"/>
          <w:sz w:val="22"/>
          <w:szCs w:val="22"/>
        </w:rPr>
        <w:t>ampliar su formación en estas materias</w:t>
      </w:r>
      <w:r w:rsidRPr="002836A4">
        <w:rPr>
          <w:rFonts w:ascii="Verdana" w:hAnsi="Verdana"/>
          <w:sz w:val="22"/>
          <w:szCs w:val="22"/>
        </w:rPr>
        <w:t>, adquiriendo conocimientos especializados en el ámbito de la estadística bajo la tutoría de personal técnico del ICANE.</w:t>
      </w:r>
    </w:p>
    <w:p w:rsidR="00CD7A9E" w:rsidRPr="007763B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1011F6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7763BA">
        <w:rPr>
          <w:rFonts w:ascii="Verdana" w:hAnsi="Verdana"/>
          <w:sz w:val="22"/>
          <w:szCs w:val="22"/>
        </w:rPr>
        <w:t xml:space="preserve">Conforme a lo que establece el artículo </w:t>
      </w:r>
      <w:r w:rsidR="001011F6">
        <w:rPr>
          <w:rFonts w:ascii="Verdana" w:hAnsi="Verdana"/>
          <w:sz w:val="22"/>
          <w:szCs w:val="22"/>
        </w:rPr>
        <w:t>104</w:t>
      </w:r>
      <w:r w:rsidRPr="007763BA">
        <w:rPr>
          <w:rFonts w:ascii="Verdana" w:hAnsi="Verdana"/>
          <w:sz w:val="22"/>
          <w:szCs w:val="22"/>
        </w:rPr>
        <w:t xml:space="preserve"> de la Ley de </w:t>
      </w:r>
      <w:r w:rsidRPr="001011F6">
        <w:rPr>
          <w:rFonts w:ascii="Verdana" w:hAnsi="Verdana"/>
          <w:sz w:val="22"/>
          <w:szCs w:val="22"/>
        </w:rPr>
        <w:t xml:space="preserve">Cantabria </w:t>
      </w:r>
      <w:r w:rsidR="001011F6" w:rsidRPr="001011F6">
        <w:rPr>
          <w:rFonts w:ascii="Verdana" w:hAnsi="Verdana"/>
          <w:bCs/>
          <w:sz w:val="22"/>
          <w:szCs w:val="22"/>
        </w:rPr>
        <w:t>5/2018, de 22 de noviembre, de Régimen Jurídico del Gobierno, de la Administración y del Sector Público Institucional de la Comunidad Autónoma de Cantabria</w:t>
      </w:r>
      <w:r w:rsidRPr="001011F6">
        <w:rPr>
          <w:rFonts w:ascii="Verdana" w:hAnsi="Verdana"/>
          <w:sz w:val="22"/>
          <w:szCs w:val="22"/>
        </w:rPr>
        <w:t>,</w:t>
      </w:r>
    </w:p>
    <w:p w:rsidR="00CD7A9E" w:rsidRPr="007763B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B10CB8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B10CB8" w:rsidRDefault="00CD7A9E" w:rsidP="00CD7A9E">
      <w:pPr>
        <w:pStyle w:val="NormalWeb"/>
        <w:spacing w:before="0" w:beforeAutospacing="0" w:after="0" w:afterAutospacing="0" w:line="260" w:lineRule="exact"/>
        <w:jc w:val="center"/>
        <w:rPr>
          <w:rFonts w:ascii="Verdana" w:hAnsi="Verdana"/>
          <w:b/>
          <w:sz w:val="22"/>
          <w:szCs w:val="22"/>
        </w:rPr>
      </w:pPr>
      <w:r w:rsidRPr="00B10CB8">
        <w:rPr>
          <w:rFonts w:ascii="Verdana" w:hAnsi="Verdana"/>
          <w:b/>
          <w:sz w:val="22"/>
          <w:szCs w:val="22"/>
        </w:rPr>
        <w:t>DISPONGO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  <w:highlight w:val="cyan"/>
        </w:rPr>
      </w:pPr>
    </w:p>
    <w:p w:rsidR="00CD7A9E" w:rsidRPr="00BD27A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BD27AA">
        <w:rPr>
          <w:rFonts w:ascii="Verdana" w:hAnsi="Verdana"/>
          <w:b/>
          <w:sz w:val="22"/>
          <w:szCs w:val="22"/>
        </w:rPr>
        <w:t>Artículo 1.- Bases reguladoras</w:t>
      </w:r>
    </w:p>
    <w:p w:rsidR="00CD7A9E" w:rsidRPr="00BD27A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BD27AA">
        <w:rPr>
          <w:rFonts w:ascii="Verdana" w:hAnsi="Verdana"/>
          <w:sz w:val="22"/>
          <w:szCs w:val="22"/>
        </w:rPr>
        <w:t>Las bases reguladoras que regirán la presente convoc</w:t>
      </w:r>
      <w:r>
        <w:rPr>
          <w:rFonts w:ascii="Verdana" w:hAnsi="Verdana"/>
          <w:sz w:val="22"/>
          <w:szCs w:val="22"/>
        </w:rPr>
        <w:t xml:space="preserve">atoria figuran en </w:t>
      </w:r>
      <w:smartTag w:uri="urn:schemas-microsoft-com:office:smarttags" w:element="PersonName">
        <w:smartTagPr>
          <w:attr w:name="ProductID" w:val="la Orden HAC"/>
        </w:smartTagPr>
        <w:r>
          <w:rPr>
            <w:rFonts w:ascii="Verdana" w:hAnsi="Verdana"/>
            <w:sz w:val="22"/>
            <w:szCs w:val="22"/>
          </w:rPr>
          <w:t>la Orden HAC</w:t>
        </w:r>
      </w:smartTag>
      <w:r>
        <w:rPr>
          <w:rFonts w:ascii="Verdana" w:hAnsi="Verdana"/>
          <w:sz w:val="22"/>
          <w:szCs w:val="22"/>
        </w:rPr>
        <w:t>/11/2016</w:t>
      </w:r>
      <w:r w:rsidR="00331BC8">
        <w:rPr>
          <w:rFonts w:ascii="Verdana" w:hAnsi="Verdana"/>
          <w:sz w:val="22"/>
          <w:szCs w:val="22"/>
        </w:rPr>
        <w:t>, de 14 de abril,</w:t>
      </w:r>
      <w:r w:rsidRPr="00BD27AA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p</w:t>
      </w:r>
      <w:r w:rsidRPr="00BD27AA">
        <w:rPr>
          <w:rFonts w:ascii="Verdana" w:hAnsi="Verdana"/>
          <w:sz w:val="22"/>
          <w:szCs w:val="22"/>
        </w:rPr>
        <w:t xml:space="preserve">ublicada el </w:t>
      </w:r>
      <w:r>
        <w:rPr>
          <w:rFonts w:ascii="Verdana" w:hAnsi="Verdana"/>
          <w:sz w:val="22"/>
          <w:szCs w:val="22"/>
        </w:rPr>
        <w:t xml:space="preserve">22 de abril de 2016 </w:t>
      </w:r>
      <w:r w:rsidRPr="00BD27AA">
        <w:rPr>
          <w:rFonts w:ascii="Verdana" w:hAnsi="Verdana"/>
          <w:sz w:val="22"/>
          <w:szCs w:val="22"/>
        </w:rPr>
        <w:t>en el Boletín Oficial de Cantabria</w:t>
      </w:r>
      <w:r>
        <w:rPr>
          <w:rFonts w:ascii="Verdana" w:hAnsi="Verdana"/>
          <w:sz w:val="22"/>
          <w:szCs w:val="22"/>
        </w:rPr>
        <w:t xml:space="preserve"> (BOC nº 77)</w:t>
      </w:r>
      <w:r w:rsidRPr="00BD27AA">
        <w:rPr>
          <w:rFonts w:ascii="Verdana" w:hAnsi="Verdana"/>
          <w:sz w:val="22"/>
          <w:szCs w:val="22"/>
        </w:rPr>
        <w:t>.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</w:p>
    <w:p w:rsidR="00CD7A9E" w:rsidRPr="00404526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  <w:r w:rsidRPr="00404526">
        <w:rPr>
          <w:rFonts w:ascii="Verdana" w:hAnsi="Verdana"/>
          <w:b/>
          <w:sz w:val="22"/>
          <w:szCs w:val="22"/>
        </w:rPr>
        <w:t>Artículo 2.- Crédito presupuestario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920389">
        <w:rPr>
          <w:rFonts w:ascii="Verdana" w:hAnsi="Verdana"/>
          <w:sz w:val="22"/>
          <w:szCs w:val="22"/>
        </w:rPr>
        <w:t xml:space="preserve">La cuantía total máxima de la presente Orden de convocatoria asciende a </w:t>
      </w:r>
      <w:r w:rsidR="00920389" w:rsidRPr="00920389">
        <w:rPr>
          <w:rFonts w:ascii="Verdana" w:hAnsi="Verdana"/>
          <w:sz w:val="22"/>
          <w:szCs w:val="22"/>
        </w:rPr>
        <w:t>cinco mil veinte euros</w:t>
      </w:r>
      <w:r w:rsidRPr="00920389">
        <w:rPr>
          <w:rFonts w:ascii="Verdana" w:hAnsi="Verdana"/>
          <w:sz w:val="22"/>
          <w:szCs w:val="22"/>
        </w:rPr>
        <w:t xml:space="preserve"> (</w:t>
      </w:r>
      <w:r w:rsidR="00920389" w:rsidRPr="00920389">
        <w:rPr>
          <w:rFonts w:ascii="Verdana" w:hAnsi="Verdana"/>
          <w:sz w:val="22"/>
          <w:szCs w:val="22"/>
        </w:rPr>
        <w:t>5.020</w:t>
      </w:r>
      <w:r w:rsidRPr="00920389">
        <w:rPr>
          <w:rFonts w:ascii="Verdana" w:hAnsi="Verdana"/>
          <w:sz w:val="22"/>
          <w:szCs w:val="22"/>
        </w:rPr>
        <w:t xml:space="preserve"> €)</w:t>
      </w:r>
      <w:r w:rsidR="00E7691B" w:rsidRPr="00920389">
        <w:rPr>
          <w:rFonts w:ascii="Verdana" w:hAnsi="Verdana"/>
          <w:sz w:val="22"/>
          <w:szCs w:val="22"/>
        </w:rPr>
        <w:t xml:space="preserve"> para el año 201</w:t>
      </w:r>
      <w:r w:rsidR="006A4DA1" w:rsidRPr="00920389">
        <w:rPr>
          <w:rFonts w:ascii="Verdana" w:hAnsi="Verdana"/>
          <w:sz w:val="22"/>
          <w:szCs w:val="22"/>
        </w:rPr>
        <w:t>9</w:t>
      </w:r>
      <w:r w:rsidRPr="00920389">
        <w:rPr>
          <w:rFonts w:ascii="Verdana" w:hAnsi="Verdana"/>
          <w:sz w:val="22"/>
          <w:szCs w:val="22"/>
        </w:rPr>
        <w:t xml:space="preserve">, y </w:t>
      </w:r>
      <w:r w:rsidR="00920389" w:rsidRPr="00920389">
        <w:rPr>
          <w:rFonts w:ascii="Verdana" w:hAnsi="Verdana"/>
          <w:sz w:val="22"/>
          <w:szCs w:val="22"/>
        </w:rPr>
        <w:t xml:space="preserve">diecisiete mil doscientos diez </w:t>
      </w:r>
      <w:r w:rsidR="00404526" w:rsidRPr="00920389">
        <w:rPr>
          <w:rFonts w:ascii="Verdana" w:hAnsi="Verdana"/>
          <w:sz w:val="22"/>
          <w:szCs w:val="22"/>
        </w:rPr>
        <w:t xml:space="preserve">euros </w:t>
      </w:r>
      <w:r w:rsidRPr="00920389">
        <w:rPr>
          <w:rFonts w:ascii="Verdana" w:hAnsi="Verdana"/>
          <w:sz w:val="22"/>
          <w:szCs w:val="22"/>
        </w:rPr>
        <w:t>para 201</w:t>
      </w:r>
      <w:r w:rsidR="00E7691B" w:rsidRPr="00920389">
        <w:rPr>
          <w:rFonts w:ascii="Verdana" w:hAnsi="Verdana"/>
          <w:sz w:val="22"/>
          <w:szCs w:val="22"/>
        </w:rPr>
        <w:t>9</w:t>
      </w:r>
      <w:r w:rsidRPr="00920389">
        <w:rPr>
          <w:rFonts w:ascii="Verdana" w:hAnsi="Verdana"/>
          <w:sz w:val="22"/>
          <w:szCs w:val="22"/>
        </w:rPr>
        <w:t xml:space="preserve"> (</w:t>
      </w:r>
      <w:r w:rsidR="00920389" w:rsidRPr="00920389">
        <w:rPr>
          <w:rFonts w:ascii="Verdana" w:hAnsi="Verdana"/>
          <w:sz w:val="22"/>
          <w:szCs w:val="22"/>
        </w:rPr>
        <w:t>17.210</w:t>
      </w:r>
      <w:r w:rsidRPr="00920389">
        <w:rPr>
          <w:rFonts w:ascii="Verdana" w:hAnsi="Verdana"/>
          <w:sz w:val="22"/>
          <w:szCs w:val="22"/>
        </w:rPr>
        <w:t xml:space="preserve"> €) y la financiación del gasto se realizará con cargo a la aplicación presupuestaria 01.01.931A.483 de los Presupuestos</w:t>
      </w:r>
      <w:r w:rsidRPr="006A4DA1">
        <w:rPr>
          <w:rFonts w:ascii="Verdana" w:hAnsi="Verdana"/>
          <w:sz w:val="22"/>
          <w:szCs w:val="22"/>
        </w:rPr>
        <w:t xml:space="preserve"> Generales</w:t>
      </w:r>
      <w:r w:rsidRPr="00BD27AA">
        <w:rPr>
          <w:rFonts w:ascii="Verdana" w:hAnsi="Verdana"/>
          <w:sz w:val="22"/>
          <w:szCs w:val="22"/>
        </w:rPr>
        <w:t xml:space="preserve"> de la Comunidad Autónoma de Cantabria correspondiente en cada un</w:t>
      </w:r>
      <w:r>
        <w:rPr>
          <w:rFonts w:ascii="Verdana" w:hAnsi="Verdana"/>
          <w:sz w:val="22"/>
          <w:szCs w:val="22"/>
        </w:rPr>
        <w:t xml:space="preserve">o de los ejercicios mencionados, </w:t>
      </w:r>
      <w:r w:rsidRPr="00104DE5">
        <w:rPr>
          <w:rFonts w:ascii="Verdana" w:hAnsi="Verdana"/>
          <w:sz w:val="22"/>
          <w:szCs w:val="22"/>
        </w:rPr>
        <w:t>condicionado a la existencia de crédito adecuado y suficiente.</w:t>
      </w:r>
      <w:r w:rsidRPr="00BD27AA">
        <w:rPr>
          <w:rFonts w:ascii="Verdana" w:hAnsi="Verdana"/>
          <w:sz w:val="22"/>
          <w:szCs w:val="22"/>
        </w:rPr>
        <w:t xml:space="preserve"> </w:t>
      </w:r>
    </w:p>
    <w:p w:rsidR="00E7691B" w:rsidRDefault="00E7691B" w:rsidP="00E7691B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</w:p>
    <w:p w:rsidR="00E7691B" w:rsidRPr="00BF1DBA" w:rsidRDefault="00E7691B" w:rsidP="00E7691B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  <w:r w:rsidRPr="00BF1DBA">
        <w:rPr>
          <w:rFonts w:ascii="Verdana" w:hAnsi="Verdana"/>
          <w:b/>
          <w:sz w:val="22"/>
          <w:szCs w:val="22"/>
        </w:rPr>
        <w:t>Artículo 3.- Duración y cuantía.</w:t>
      </w:r>
    </w:p>
    <w:p w:rsidR="00E7691B" w:rsidRDefault="00E7691B" w:rsidP="00E7691B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BF1DBA">
        <w:rPr>
          <w:rFonts w:ascii="Verdana" w:hAnsi="Verdana"/>
          <w:sz w:val="22"/>
          <w:szCs w:val="22"/>
        </w:rPr>
        <w:t xml:space="preserve">1.- </w:t>
      </w:r>
      <w:r>
        <w:rPr>
          <w:rFonts w:ascii="Verdana" w:hAnsi="Verdana"/>
          <w:sz w:val="22"/>
          <w:szCs w:val="22"/>
        </w:rPr>
        <w:t>La duración de la</w:t>
      </w:r>
      <w:r w:rsidRPr="00BF1DBA">
        <w:rPr>
          <w:rFonts w:ascii="Verdana" w:hAnsi="Verdana"/>
          <w:sz w:val="22"/>
          <w:szCs w:val="22"/>
        </w:rPr>
        <w:t xml:space="preserve"> beca se limitará a un máximo de un año, prorrogable </w:t>
      </w:r>
      <w:r w:rsidRPr="00404526">
        <w:rPr>
          <w:rFonts w:ascii="Verdana" w:hAnsi="Verdana"/>
          <w:sz w:val="22"/>
          <w:szCs w:val="22"/>
        </w:rPr>
        <w:t xml:space="preserve">excepcionalmente por otro y se contabilizará desde la </w:t>
      </w:r>
      <w:r w:rsidRPr="00920389">
        <w:rPr>
          <w:rFonts w:ascii="Verdana" w:hAnsi="Verdana"/>
          <w:sz w:val="22"/>
          <w:szCs w:val="22"/>
        </w:rPr>
        <w:t xml:space="preserve">incorporación del beneficiario a la misma, que en ningún caso será antes del </w:t>
      </w:r>
      <w:r w:rsidR="00404526" w:rsidRPr="00920389">
        <w:rPr>
          <w:rFonts w:ascii="Verdana" w:hAnsi="Verdana"/>
          <w:sz w:val="22"/>
          <w:szCs w:val="22"/>
        </w:rPr>
        <w:t xml:space="preserve">1 de </w:t>
      </w:r>
      <w:r w:rsidR="00920389" w:rsidRPr="00920389">
        <w:rPr>
          <w:rFonts w:ascii="Verdana" w:hAnsi="Verdana"/>
          <w:sz w:val="22"/>
          <w:szCs w:val="22"/>
        </w:rPr>
        <w:t>octubre</w:t>
      </w:r>
      <w:r w:rsidR="006A4DA1" w:rsidRPr="00920389">
        <w:rPr>
          <w:rFonts w:ascii="Verdana" w:hAnsi="Verdana"/>
          <w:sz w:val="22"/>
          <w:szCs w:val="22"/>
        </w:rPr>
        <w:t xml:space="preserve"> de</w:t>
      </w:r>
      <w:r w:rsidR="00404526" w:rsidRPr="00920389">
        <w:rPr>
          <w:rFonts w:ascii="Verdana" w:hAnsi="Verdana"/>
          <w:sz w:val="22"/>
          <w:szCs w:val="22"/>
        </w:rPr>
        <w:t xml:space="preserve"> 201</w:t>
      </w:r>
      <w:r w:rsidR="006A4DA1" w:rsidRPr="00920389">
        <w:rPr>
          <w:rFonts w:ascii="Verdana" w:hAnsi="Verdana"/>
          <w:sz w:val="22"/>
          <w:szCs w:val="22"/>
        </w:rPr>
        <w:t>9</w:t>
      </w:r>
      <w:r w:rsidR="00404526" w:rsidRPr="00920389">
        <w:rPr>
          <w:rFonts w:ascii="Verdana" w:hAnsi="Verdana"/>
          <w:sz w:val="22"/>
          <w:szCs w:val="22"/>
        </w:rPr>
        <w:t>.</w:t>
      </w:r>
    </w:p>
    <w:p w:rsidR="00E7691B" w:rsidRDefault="00E7691B" w:rsidP="00E7691B">
      <w:pPr>
        <w:pStyle w:val="NormalWeb"/>
        <w:spacing w:line="260" w:lineRule="exac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2.- </w:t>
      </w:r>
      <w:r w:rsidRPr="00FA6901">
        <w:rPr>
          <w:rFonts w:ascii="Verdana" w:hAnsi="Verdana"/>
          <w:sz w:val="22"/>
          <w:szCs w:val="22"/>
        </w:rPr>
        <w:t xml:space="preserve">La cuantía a percibir por </w:t>
      </w:r>
      <w:r>
        <w:rPr>
          <w:rFonts w:ascii="Verdana" w:hAnsi="Verdana"/>
          <w:sz w:val="22"/>
          <w:szCs w:val="22"/>
        </w:rPr>
        <w:t>la persona beneficiaria</w:t>
      </w:r>
      <w:r w:rsidRPr="00FA6901">
        <w:rPr>
          <w:rFonts w:ascii="Verdana" w:hAnsi="Verdana"/>
          <w:sz w:val="22"/>
          <w:szCs w:val="22"/>
        </w:rPr>
        <w:t xml:space="preserve"> no podrá superar los ochocientos euros (800 €) brutos mensuales.</w:t>
      </w:r>
    </w:p>
    <w:p w:rsidR="00CD7A9E" w:rsidRPr="00BD27A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  <w:r w:rsidRPr="00BD27AA">
        <w:rPr>
          <w:rFonts w:ascii="Verdana" w:hAnsi="Verdana"/>
          <w:b/>
          <w:sz w:val="22"/>
          <w:szCs w:val="22"/>
        </w:rPr>
        <w:t xml:space="preserve">Artículo </w:t>
      </w:r>
      <w:r w:rsidR="00E7691B">
        <w:rPr>
          <w:rFonts w:ascii="Verdana" w:hAnsi="Verdana"/>
          <w:b/>
          <w:sz w:val="22"/>
          <w:szCs w:val="22"/>
        </w:rPr>
        <w:t>4</w:t>
      </w:r>
      <w:r w:rsidRPr="00BD27AA">
        <w:rPr>
          <w:rFonts w:ascii="Verdana" w:hAnsi="Verdana"/>
          <w:b/>
          <w:sz w:val="22"/>
          <w:szCs w:val="22"/>
        </w:rPr>
        <w:t>.- Objeto</w:t>
      </w:r>
      <w:r w:rsidRPr="00BD27AA">
        <w:rPr>
          <w:rFonts w:ascii="Verdana" w:hAnsi="Verdana"/>
          <w:sz w:val="22"/>
          <w:szCs w:val="22"/>
        </w:rPr>
        <w:t xml:space="preserve">, </w:t>
      </w:r>
      <w:r w:rsidRPr="00BD27AA">
        <w:rPr>
          <w:rFonts w:ascii="Verdana" w:hAnsi="Verdana"/>
          <w:b/>
          <w:sz w:val="22"/>
          <w:szCs w:val="22"/>
        </w:rPr>
        <w:t>condiciones y finalidad</w:t>
      </w:r>
    </w:p>
    <w:p w:rsidR="00CD7A9E" w:rsidRPr="00DE0EFB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BD27AA">
        <w:rPr>
          <w:rFonts w:ascii="Verdana" w:hAnsi="Verdana"/>
          <w:sz w:val="22"/>
          <w:szCs w:val="22"/>
        </w:rPr>
        <w:t>La presente Orden tiene por objeto la convocatoria, en régimen de concurrencia competitiva</w:t>
      </w:r>
      <w:r w:rsidRPr="00BD27AA">
        <w:t>,</w:t>
      </w:r>
      <w:r w:rsidRPr="00BD27AA">
        <w:rPr>
          <w:rFonts w:ascii="Verdana" w:hAnsi="Verdana"/>
          <w:sz w:val="22"/>
          <w:szCs w:val="22"/>
        </w:rPr>
        <w:t xml:space="preserve"> </w:t>
      </w:r>
      <w:r w:rsidRPr="006A4DA1">
        <w:rPr>
          <w:rFonts w:ascii="Verdana" w:hAnsi="Verdana"/>
          <w:sz w:val="22"/>
          <w:szCs w:val="22"/>
        </w:rPr>
        <w:t xml:space="preserve">de </w:t>
      </w:r>
      <w:r w:rsidR="00042444" w:rsidRPr="006A4DA1">
        <w:rPr>
          <w:rFonts w:ascii="Verdana" w:hAnsi="Verdana"/>
          <w:sz w:val="22"/>
          <w:szCs w:val="22"/>
        </w:rPr>
        <w:t>dos</w:t>
      </w:r>
      <w:r w:rsidRPr="006A4DA1">
        <w:rPr>
          <w:rFonts w:ascii="Verdana" w:hAnsi="Verdana"/>
          <w:sz w:val="22"/>
          <w:szCs w:val="22"/>
        </w:rPr>
        <w:t xml:space="preserve"> becas de</w:t>
      </w:r>
      <w:r w:rsidRPr="00BD27AA">
        <w:rPr>
          <w:rFonts w:ascii="Verdana" w:hAnsi="Verdana"/>
          <w:sz w:val="22"/>
          <w:szCs w:val="22"/>
        </w:rPr>
        <w:t xml:space="preserve"> formación, especialización y colaboración </w:t>
      </w:r>
      <w:r w:rsidRPr="00DE0EFB">
        <w:rPr>
          <w:rFonts w:ascii="Verdana" w:hAnsi="Verdana"/>
          <w:sz w:val="22"/>
          <w:szCs w:val="22"/>
        </w:rPr>
        <w:t xml:space="preserve">destinadas a las áreas que se detallan en el artículo </w:t>
      </w:r>
      <w:r w:rsidR="00E7691B">
        <w:rPr>
          <w:rFonts w:ascii="Verdana" w:hAnsi="Verdana"/>
          <w:sz w:val="22"/>
          <w:szCs w:val="22"/>
        </w:rPr>
        <w:t>quinto</w:t>
      </w:r>
      <w:r>
        <w:rPr>
          <w:rFonts w:ascii="Verdana" w:hAnsi="Verdana"/>
          <w:sz w:val="22"/>
          <w:szCs w:val="22"/>
        </w:rPr>
        <w:t xml:space="preserve"> </w:t>
      </w:r>
      <w:r w:rsidRPr="00DE0EFB">
        <w:rPr>
          <w:rFonts w:ascii="Verdana" w:hAnsi="Verdana"/>
          <w:sz w:val="22"/>
          <w:szCs w:val="22"/>
        </w:rPr>
        <w:t xml:space="preserve">de esta Orden. 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</w:pPr>
    </w:p>
    <w:p w:rsidR="00CD7A9E" w:rsidRPr="00DE0EFB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  <w:r w:rsidRPr="00DE0EFB">
        <w:rPr>
          <w:rFonts w:ascii="Verdana" w:hAnsi="Verdana"/>
          <w:b/>
          <w:sz w:val="22"/>
          <w:szCs w:val="22"/>
        </w:rPr>
        <w:t xml:space="preserve">Artículo </w:t>
      </w:r>
      <w:r w:rsidR="00E7691B">
        <w:rPr>
          <w:rFonts w:ascii="Verdana" w:hAnsi="Verdana"/>
          <w:b/>
          <w:sz w:val="22"/>
          <w:szCs w:val="22"/>
        </w:rPr>
        <w:t>5</w:t>
      </w:r>
      <w:r w:rsidRPr="00DE0EFB">
        <w:rPr>
          <w:rFonts w:ascii="Verdana" w:hAnsi="Verdana"/>
          <w:b/>
          <w:sz w:val="22"/>
          <w:szCs w:val="22"/>
        </w:rPr>
        <w:t>.- Área para el desarrollo de las becas.</w:t>
      </w:r>
    </w:p>
    <w:p w:rsidR="00CD7A9E" w:rsidRPr="00FE00AC" w:rsidRDefault="00CD7A9E" w:rsidP="002C1D45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FE00AC">
        <w:rPr>
          <w:rFonts w:ascii="Verdana" w:hAnsi="Verdana"/>
          <w:sz w:val="22"/>
          <w:szCs w:val="22"/>
        </w:rPr>
        <w:t xml:space="preserve">Las becas convocadas se desarrollarán dentro del ámbito de actividades del ICANE, </w:t>
      </w:r>
      <w:r w:rsidR="002C1D45" w:rsidRPr="006A4DA1">
        <w:rPr>
          <w:rFonts w:ascii="Verdana" w:hAnsi="Verdana"/>
          <w:sz w:val="22"/>
          <w:szCs w:val="22"/>
        </w:rPr>
        <w:t xml:space="preserve">en concreto </w:t>
      </w:r>
      <w:r w:rsidRPr="006A4DA1">
        <w:rPr>
          <w:rFonts w:ascii="Verdana" w:hAnsi="Verdana"/>
          <w:sz w:val="22"/>
          <w:szCs w:val="22"/>
        </w:rPr>
        <w:t>en el Servicio de Informática y Banco de Datos.</w:t>
      </w:r>
    </w:p>
    <w:p w:rsidR="00CD7A9E" w:rsidRPr="00BD27AA" w:rsidRDefault="00CD7A9E" w:rsidP="00CD7A9E">
      <w:pPr>
        <w:pStyle w:val="NormalWeb"/>
        <w:spacing w:before="0" w:beforeAutospacing="0" w:after="0" w:afterAutospacing="0" w:line="260" w:lineRule="exact"/>
        <w:jc w:val="both"/>
      </w:pPr>
    </w:p>
    <w:p w:rsidR="00CD7A9E" w:rsidRPr="00D604D6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  <w:r w:rsidRPr="00D604D6">
        <w:rPr>
          <w:rFonts w:ascii="Verdana" w:hAnsi="Verdana"/>
          <w:b/>
          <w:sz w:val="22"/>
          <w:szCs w:val="22"/>
        </w:rPr>
        <w:t xml:space="preserve">Artículo </w:t>
      </w:r>
      <w:r w:rsidR="00E7691B">
        <w:rPr>
          <w:rFonts w:ascii="Verdana" w:hAnsi="Verdana"/>
          <w:b/>
          <w:sz w:val="22"/>
          <w:szCs w:val="22"/>
        </w:rPr>
        <w:t>6</w:t>
      </w:r>
      <w:r w:rsidRPr="00D604D6">
        <w:rPr>
          <w:rFonts w:ascii="Verdana" w:hAnsi="Verdana"/>
          <w:b/>
          <w:sz w:val="22"/>
          <w:szCs w:val="22"/>
        </w:rPr>
        <w:t>.- Requisitos para solicitar la subvención</w:t>
      </w:r>
    </w:p>
    <w:p w:rsidR="00CD7A9E" w:rsidRPr="00D604D6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D604D6">
        <w:rPr>
          <w:rFonts w:ascii="Verdana" w:hAnsi="Verdana"/>
          <w:sz w:val="22"/>
          <w:szCs w:val="22"/>
        </w:rPr>
        <w:t>Podrán ser beneficiarias todas aquellas personas que reúnan</w:t>
      </w:r>
      <w:r w:rsidR="007A0DE7">
        <w:rPr>
          <w:rFonts w:ascii="Verdana" w:hAnsi="Verdana"/>
          <w:sz w:val="22"/>
          <w:szCs w:val="22"/>
        </w:rPr>
        <w:t xml:space="preserve"> los</w:t>
      </w:r>
      <w:r w:rsidRPr="00D604D6">
        <w:rPr>
          <w:rFonts w:ascii="Verdana" w:hAnsi="Verdana"/>
          <w:sz w:val="22"/>
          <w:szCs w:val="22"/>
        </w:rPr>
        <w:t xml:space="preserve"> siguientes requisitos (artículo 2 de las bases generales de la Orden HAC/11/2016, de 14 de abril):</w:t>
      </w:r>
    </w:p>
    <w:p w:rsidR="00CD7A9E" w:rsidRPr="007763B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7763BA" w:rsidRDefault="00CD7A9E" w:rsidP="00CD7A9E">
      <w:pPr>
        <w:pStyle w:val="NormalWeb"/>
        <w:numPr>
          <w:ilvl w:val="0"/>
          <w:numId w:val="1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7763BA">
        <w:rPr>
          <w:rFonts w:ascii="Verdana" w:hAnsi="Verdana"/>
          <w:sz w:val="22"/>
          <w:szCs w:val="22"/>
        </w:rPr>
        <w:t xml:space="preserve">Ser español o nacional de un Estado miembro de </w:t>
      </w:r>
      <w:smartTag w:uri="urn:schemas-microsoft-com:office:smarttags" w:element="PersonName">
        <w:smartTagPr>
          <w:attr w:name="ProductID" w:val="la Uni￳n Europea."/>
        </w:smartTagPr>
        <w:r w:rsidRPr="007763BA">
          <w:rPr>
            <w:rFonts w:ascii="Verdana" w:hAnsi="Verdana"/>
            <w:sz w:val="22"/>
            <w:szCs w:val="22"/>
          </w:rPr>
          <w:t>la Unión Europea.</w:t>
        </w:r>
      </w:smartTag>
    </w:p>
    <w:p w:rsidR="00CD7A9E" w:rsidRPr="007763BA" w:rsidRDefault="00CD7A9E" w:rsidP="00CD7A9E">
      <w:pPr>
        <w:pStyle w:val="NormalWeb"/>
        <w:numPr>
          <w:ilvl w:val="0"/>
          <w:numId w:val="1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7763BA">
        <w:rPr>
          <w:rFonts w:ascii="Verdana" w:hAnsi="Verdana"/>
          <w:sz w:val="22"/>
          <w:szCs w:val="22"/>
        </w:rPr>
        <w:t xml:space="preserve">Estar empadronado en cualquiera de los municipios de </w:t>
      </w:r>
      <w:smartTag w:uri="urn:schemas-microsoft-com:office:smarttags" w:element="PersonName">
        <w:smartTagPr>
          <w:attr w:name="ProductID" w:val="la Comunidad Aut￳noma"/>
        </w:smartTagPr>
        <w:r w:rsidRPr="007763BA">
          <w:rPr>
            <w:rFonts w:ascii="Verdana" w:hAnsi="Verdana"/>
            <w:sz w:val="22"/>
            <w:szCs w:val="22"/>
          </w:rPr>
          <w:t>la Comunidad Autónoma</w:t>
        </w:r>
      </w:smartTag>
      <w:r w:rsidRPr="007763BA">
        <w:rPr>
          <w:rFonts w:ascii="Verdana" w:hAnsi="Verdana"/>
          <w:sz w:val="22"/>
          <w:szCs w:val="22"/>
        </w:rPr>
        <w:t xml:space="preserve"> de Cantabria.</w:t>
      </w:r>
    </w:p>
    <w:p w:rsidR="00CD7A9E" w:rsidRPr="007763BA" w:rsidRDefault="00CD7A9E" w:rsidP="00CD7A9E">
      <w:pPr>
        <w:pStyle w:val="NormalWeb"/>
        <w:numPr>
          <w:ilvl w:val="0"/>
          <w:numId w:val="1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7763BA">
        <w:rPr>
          <w:rFonts w:ascii="Verdana" w:hAnsi="Verdana"/>
          <w:sz w:val="22"/>
          <w:szCs w:val="22"/>
        </w:rPr>
        <w:t xml:space="preserve">No haber sido beneficiario de una beca de formación en </w:t>
      </w:r>
      <w:smartTag w:uri="urn:schemas-microsoft-com:office:smarttags" w:element="PersonName">
        <w:smartTagPr>
          <w:attr w:name="ProductID" w:val="la Administraci￳n"/>
        </w:smartTagPr>
        <w:r w:rsidRPr="007763BA">
          <w:rPr>
            <w:rFonts w:ascii="Verdana" w:hAnsi="Verdana"/>
            <w:sz w:val="22"/>
            <w:szCs w:val="22"/>
          </w:rPr>
          <w:t>la Administración</w:t>
        </w:r>
      </w:smartTag>
      <w:r w:rsidRPr="007763BA">
        <w:rPr>
          <w:rFonts w:ascii="Verdana" w:hAnsi="Verdana"/>
          <w:sz w:val="22"/>
          <w:szCs w:val="22"/>
        </w:rPr>
        <w:t xml:space="preserve"> de </w:t>
      </w:r>
      <w:smartTag w:uri="urn:schemas-microsoft-com:office:smarttags" w:element="PersonName">
        <w:smartTagPr>
          <w:attr w:name="ProductID" w:val="la Comunidad Aut￳noma"/>
        </w:smartTagPr>
        <w:smartTag w:uri="urn:schemas-microsoft-com:office:smarttags" w:element="PersonName">
          <w:smartTagPr>
            <w:attr w:name="ProductID" w:val="la Comunidad"/>
          </w:smartTagPr>
          <w:r w:rsidRPr="007763BA">
            <w:rPr>
              <w:rFonts w:ascii="Verdana" w:hAnsi="Verdana"/>
              <w:sz w:val="22"/>
              <w:szCs w:val="22"/>
            </w:rPr>
            <w:t>la Comunidad</w:t>
          </w:r>
        </w:smartTag>
        <w:r w:rsidRPr="007763BA">
          <w:rPr>
            <w:rFonts w:ascii="Verdana" w:hAnsi="Verdana"/>
            <w:sz w:val="22"/>
            <w:szCs w:val="22"/>
          </w:rPr>
          <w:t xml:space="preserve"> Autónoma</w:t>
        </w:r>
      </w:smartTag>
      <w:r w:rsidRPr="007763BA">
        <w:rPr>
          <w:rFonts w:ascii="Verdana" w:hAnsi="Verdana"/>
          <w:sz w:val="22"/>
          <w:szCs w:val="22"/>
        </w:rPr>
        <w:t xml:space="preserve"> de Cantabria durante dos o más años.</w:t>
      </w:r>
    </w:p>
    <w:p w:rsidR="00CD7A9E" w:rsidRPr="007763BA" w:rsidRDefault="00CD7A9E" w:rsidP="00CD7A9E">
      <w:pPr>
        <w:pStyle w:val="NormalWeb"/>
        <w:numPr>
          <w:ilvl w:val="0"/>
          <w:numId w:val="1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7763BA">
        <w:rPr>
          <w:rFonts w:ascii="Verdana" w:hAnsi="Verdana"/>
          <w:sz w:val="22"/>
          <w:szCs w:val="22"/>
        </w:rPr>
        <w:t>No estar incurso en alguna de las circunstancias previstas en el artículo 12.2 de la Ley de Cantabria 10/2006, de 17 de julio de subvenciones de Cantabria.</w:t>
      </w:r>
    </w:p>
    <w:p w:rsidR="00CD7A9E" w:rsidRPr="007763BA" w:rsidRDefault="00CD7A9E" w:rsidP="00CD7A9E">
      <w:pPr>
        <w:pStyle w:val="NormalWeb"/>
        <w:numPr>
          <w:ilvl w:val="0"/>
          <w:numId w:val="1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7763BA">
        <w:rPr>
          <w:rFonts w:ascii="Verdana" w:hAnsi="Verdana"/>
          <w:sz w:val="22"/>
          <w:szCs w:val="22"/>
        </w:rPr>
        <w:t>No haber sido separado del servicio de ninguna administración u Organismo Público o privado como consecuencia de expediente disciplinario ni haber perdido la condición de becario/a en una Administración Pública u Organismo Público por causas imputables a la persona que aspira a la beca.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D604D6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D604D6">
        <w:rPr>
          <w:rFonts w:ascii="Verdana" w:hAnsi="Verdana"/>
          <w:sz w:val="22"/>
          <w:szCs w:val="22"/>
        </w:rPr>
        <w:t>Y en concreto para la presente convocatoria: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</w:pPr>
    </w:p>
    <w:p w:rsidR="00CD7A9E" w:rsidRPr="000010AD" w:rsidRDefault="00CD7A9E" w:rsidP="000010AD">
      <w:pPr>
        <w:pStyle w:val="NormalWeb"/>
        <w:numPr>
          <w:ilvl w:val="0"/>
          <w:numId w:val="1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DE0EFB">
        <w:rPr>
          <w:rFonts w:ascii="Verdana" w:hAnsi="Verdana"/>
          <w:sz w:val="22"/>
          <w:szCs w:val="22"/>
        </w:rPr>
        <w:t xml:space="preserve">Estar en posesión de la titulación exigida para cada una de las becas de </w:t>
      </w:r>
      <w:r w:rsidRPr="00FE00AC">
        <w:rPr>
          <w:rFonts w:ascii="Verdana" w:hAnsi="Verdana"/>
          <w:sz w:val="22"/>
          <w:szCs w:val="22"/>
        </w:rPr>
        <w:t xml:space="preserve">acuerdo con la siguiente relación: </w:t>
      </w:r>
      <w:r w:rsidRPr="000010AD">
        <w:rPr>
          <w:rFonts w:ascii="Verdana" w:hAnsi="Verdana"/>
          <w:sz w:val="22"/>
          <w:szCs w:val="22"/>
        </w:rPr>
        <w:t xml:space="preserve">Grado en Ingeniería de </w:t>
      </w:r>
      <w:r w:rsidRPr="000010AD">
        <w:rPr>
          <w:rFonts w:ascii="Verdana" w:hAnsi="Verdana"/>
          <w:sz w:val="22"/>
          <w:szCs w:val="22"/>
        </w:rPr>
        <w:lastRenderedPageBreak/>
        <w:t>Tecnologías de Telecomunicación o Ingeniería de Telecomunicación, Grado en Tecnologías de la Información, Grado en Ingeniería Informática o Ingeniería en Informática, Grado en Física o Licenciatura en Ciencias Físicas, Grado en Matemáticas o Licenciatura en Ciencias Matemáticas, Ciclo Formativo de Grado Superior en Desarrollo de Aplicaciones Multiplataforma, Ciclo Formativo de Grado Superior en Desarrollo de Aplicaciones web.</w:t>
      </w:r>
    </w:p>
    <w:p w:rsidR="00CD7A9E" w:rsidRPr="00342340" w:rsidRDefault="00CD7A9E" w:rsidP="00CD7A9E">
      <w:pPr>
        <w:pStyle w:val="NormalWeb"/>
        <w:numPr>
          <w:ilvl w:val="0"/>
          <w:numId w:val="1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342340">
        <w:rPr>
          <w:rFonts w:ascii="Verdana" w:hAnsi="Verdana"/>
          <w:sz w:val="22"/>
          <w:szCs w:val="22"/>
        </w:rPr>
        <w:t xml:space="preserve">Haber finalizado la titulación exigida para optar a la beca en el curso </w:t>
      </w:r>
      <w:r w:rsidRPr="006A4DA1">
        <w:rPr>
          <w:rFonts w:ascii="Verdana" w:hAnsi="Verdana"/>
          <w:sz w:val="22"/>
          <w:szCs w:val="22"/>
        </w:rPr>
        <w:t>académico 201</w:t>
      </w:r>
      <w:r w:rsidR="00E7691B" w:rsidRPr="006A4DA1">
        <w:rPr>
          <w:rFonts w:ascii="Verdana" w:hAnsi="Verdana"/>
          <w:sz w:val="22"/>
          <w:szCs w:val="22"/>
        </w:rPr>
        <w:t>3/2014</w:t>
      </w:r>
      <w:r w:rsidRPr="006A4DA1">
        <w:rPr>
          <w:rFonts w:ascii="Verdana" w:hAnsi="Verdana"/>
          <w:sz w:val="22"/>
          <w:szCs w:val="22"/>
        </w:rPr>
        <w:t>, o</w:t>
      </w:r>
      <w:r w:rsidRPr="00342340">
        <w:rPr>
          <w:rFonts w:ascii="Verdana" w:hAnsi="Verdana"/>
          <w:sz w:val="22"/>
          <w:szCs w:val="22"/>
        </w:rPr>
        <w:t xml:space="preserve"> en cursos posteriores. 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</w:pP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Artículo </w:t>
      </w:r>
      <w:r w:rsidR="00E7691B">
        <w:rPr>
          <w:rFonts w:ascii="Verdana" w:hAnsi="Verdana"/>
          <w:b/>
          <w:sz w:val="22"/>
          <w:szCs w:val="22"/>
        </w:rPr>
        <w:t>7</w:t>
      </w:r>
      <w:r w:rsidRPr="00104DE5">
        <w:rPr>
          <w:rFonts w:ascii="Verdana" w:hAnsi="Verdana"/>
          <w:b/>
          <w:sz w:val="22"/>
          <w:szCs w:val="22"/>
        </w:rPr>
        <w:t xml:space="preserve">.- Instrucción, tramitación y Comité de Selección. </w:t>
      </w:r>
    </w:p>
    <w:p w:rsidR="00CD7A9E" w:rsidRPr="00104DE5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1.- La</w:t>
      </w:r>
      <w:r w:rsidR="0089214B">
        <w:rPr>
          <w:rFonts w:ascii="Verdana" w:hAnsi="Verdana"/>
          <w:sz w:val="22"/>
          <w:szCs w:val="22"/>
        </w:rPr>
        <w:t>s</w:t>
      </w:r>
      <w:r w:rsidRPr="002836A4">
        <w:rPr>
          <w:rFonts w:ascii="Verdana" w:hAnsi="Verdana"/>
          <w:sz w:val="22"/>
          <w:szCs w:val="22"/>
        </w:rPr>
        <w:t xml:space="preserve"> beca</w:t>
      </w:r>
      <w:r w:rsidR="0089214B">
        <w:rPr>
          <w:rFonts w:ascii="Verdana" w:hAnsi="Verdana"/>
          <w:sz w:val="22"/>
          <w:szCs w:val="22"/>
        </w:rPr>
        <w:t>s</w:t>
      </w:r>
      <w:r w:rsidRPr="002836A4">
        <w:rPr>
          <w:rFonts w:ascii="Verdana" w:hAnsi="Verdana"/>
          <w:sz w:val="22"/>
          <w:szCs w:val="22"/>
        </w:rPr>
        <w:t xml:space="preserve"> la</w:t>
      </w:r>
      <w:r w:rsidR="0089214B">
        <w:rPr>
          <w:rFonts w:ascii="Verdana" w:hAnsi="Verdana"/>
          <w:sz w:val="22"/>
          <w:szCs w:val="22"/>
        </w:rPr>
        <w:t>s</w:t>
      </w:r>
      <w:r w:rsidRPr="002836A4">
        <w:rPr>
          <w:rFonts w:ascii="Verdana" w:hAnsi="Verdana"/>
          <w:sz w:val="22"/>
          <w:szCs w:val="22"/>
        </w:rPr>
        <w:t xml:space="preserve"> concederá el Director del ICANE a propuesta de un Comité de Selección</w:t>
      </w:r>
      <w:r w:rsidR="00E7691B">
        <w:rPr>
          <w:rFonts w:ascii="Verdana" w:hAnsi="Verdana"/>
          <w:sz w:val="22"/>
          <w:szCs w:val="22"/>
        </w:rPr>
        <w:t xml:space="preserve">, siendo el Servicio de Estadísticas Económicas y Socio-demográficas </w:t>
      </w:r>
      <w:r w:rsidRPr="002836A4">
        <w:rPr>
          <w:rFonts w:ascii="Verdana" w:hAnsi="Verdana"/>
          <w:sz w:val="22"/>
          <w:szCs w:val="22"/>
        </w:rPr>
        <w:t xml:space="preserve">el encargado de la instrucción del procedimiento. 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2.- Este Comité estará presidido por el Jefe del Servicio de E</w:t>
      </w:r>
      <w:r w:rsidR="00E7691B">
        <w:rPr>
          <w:rFonts w:ascii="Verdana" w:hAnsi="Verdana"/>
          <w:sz w:val="22"/>
          <w:szCs w:val="22"/>
        </w:rPr>
        <w:t>stadísticas Económicas y Socio-d</w:t>
      </w:r>
      <w:r w:rsidRPr="002836A4">
        <w:rPr>
          <w:rFonts w:ascii="Verdana" w:hAnsi="Verdana"/>
          <w:sz w:val="22"/>
          <w:szCs w:val="22"/>
        </w:rPr>
        <w:t xml:space="preserve">emográficas, o persona en quien delegue, y tres funcionarios/as del Gobierno de Cantabria, uno de los cuales actuará como secretario/a del Comité con </w:t>
      </w:r>
      <w:r w:rsidR="00E7691B" w:rsidRPr="002836A4">
        <w:rPr>
          <w:rFonts w:ascii="Verdana" w:hAnsi="Verdana"/>
          <w:sz w:val="22"/>
          <w:szCs w:val="22"/>
        </w:rPr>
        <w:t>voz,</w:t>
      </w:r>
      <w:r w:rsidRPr="002836A4">
        <w:rPr>
          <w:rFonts w:ascii="Verdana" w:hAnsi="Verdana"/>
          <w:sz w:val="22"/>
          <w:szCs w:val="22"/>
        </w:rPr>
        <w:t xml:space="preserve"> pero sin voto. De los acuerdos del Comité se levantará acta que certificará el secretario/a con el visto bueno del presidente.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3.- El Comité de Selección es el órgano competente para determinar los puntos a asignar por cada mérito acreditado por los candidatos.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4.- El Comité de Selección podrá delegar en uno o en varios de sus miembros la realización de la</w:t>
      </w:r>
      <w:r w:rsidR="0089214B">
        <w:rPr>
          <w:rFonts w:ascii="Verdana" w:hAnsi="Verdana"/>
          <w:sz w:val="22"/>
          <w:szCs w:val="22"/>
        </w:rPr>
        <w:t>s</w:t>
      </w:r>
      <w:r w:rsidRPr="002836A4">
        <w:rPr>
          <w:rFonts w:ascii="Verdana" w:hAnsi="Verdana"/>
          <w:sz w:val="22"/>
          <w:szCs w:val="22"/>
        </w:rPr>
        <w:t xml:space="preserve"> entrevista</w:t>
      </w:r>
      <w:r w:rsidR="0089214B">
        <w:rPr>
          <w:rFonts w:ascii="Verdana" w:hAnsi="Verdana"/>
          <w:sz w:val="22"/>
          <w:szCs w:val="22"/>
        </w:rPr>
        <w:t>s</w:t>
      </w:r>
      <w:r w:rsidRPr="002836A4">
        <w:rPr>
          <w:rFonts w:ascii="Verdana" w:hAnsi="Verdana"/>
          <w:sz w:val="22"/>
          <w:szCs w:val="22"/>
        </w:rPr>
        <w:t xml:space="preserve"> de la segunda fase del proceso de selección. </w:t>
      </w:r>
      <w:r w:rsidR="00E7691B" w:rsidRPr="002836A4">
        <w:rPr>
          <w:rFonts w:ascii="Verdana" w:hAnsi="Verdana"/>
          <w:sz w:val="22"/>
          <w:szCs w:val="22"/>
        </w:rPr>
        <w:t>Asimismo,</w:t>
      </w:r>
      <w:r w:rsidRPr="002836A4">
        <w:rPr>
          <w:rFonts w:ascii="Verdana" w:hAnsi="Verdana"/>
          <w:sz w:val="22"/>
          <w:szCs w:val="22"/>
        </w:rPr>
        <w:t xml:space="preserve"> el Comité de Selección podrá estar asistido por personal técnico del ICANE para la realización de la misma.</w:t>
      </w:r>
    </w:p>
    <w:p w:rsidR="00CD7A9E" w:rsidRPr="007763B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BD27A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  <w:r w:rsidRPr="00BD27AA">
        <w:rPr>
          <w:rFonts w:ascii="Verdana" w:hAnsi="Verdana"/>
          <w:b/>
          <w:sz w:val="22"/>
          <w:szCs w:val="22"/>
        </w:rPr>
        <w:t xml:space="preserve">Artículo </w:t>
      </w:r>
      <w:r w:rsidR="00E7691B">
        <w:rPr>
          <w:rFonts w:ascii="Verdana" w:hAnsi="Verdana"/>
          <w:b/>
          <w:sz w:val="22"/>
          <w:szCs w:val="22"/>
        </w:rPr>
        <w:t>8</w:t>
      </w:r>
      <w:r w:rsidRPr="00BD27AA">
        <w:rPr>
          <w:rFonts w:ascii="Verdana" w:hAnsi="Verdana"/>
          <w:b/>
          <w:sz w:val="22"/>
          <w:szCs w:val="22"/>
        </w:rPr>
        <w:t>.- Plazo de presentación de solicitudes.</w:t>
      </w:r>
    </w:p>
    <w:p w:rsidR="00CD7A9E" w:rsidRPr="00BD27A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3D0FF1">
        <w:rPr>
          <w:rFonts w:ascii="Verdana" w:hAnsi="Verdana"/>
          <w:sz w:val="22"/>
          <w:szCs w:val="22"/>
        </w:rPr>
        <w:t>El plazo para la presentación de solicitudes será de diez días hábiles a partir del día siguiente de la publicación del extracto de esta convocatoria en el Boletín Oficial de Cantabria.</w:t>
      </w:r>
    </w:p>
    <w:p w:rsidR="00CD7A9E" w:rsidRPr="00A16E9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  <w:highlight w:val="magenta"/>
        </w:rPr>
      </w:pPr>
    </w:p>
    <w:p w:rsidR="00CD7A9E" w:rsidRPr="00104DE5" w:rsidRDefault="00A136AC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Artículo 9</w:t>
      </w:r>
      <w:r w:rsidR="00CD7A9E" w:rsidRPr="00104DE5">
        <w:rPr>
          <w:rFonts w:ascii="Verdana" w:hAnsi="Verdana"/>
          <w:b/>
          <w:sz w:val="22"/>
          <w:szCs w:val="22"/>
        </w:rPr>
        <w:t>.- Documentación.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1.- Las solicitudes se presentarán según el modelo que figura como Anexo de esta Orden, dirigidas al Director del ICANE, en el Registro Delegado del ICANE (Hernán Cortes 1ª planta, Santander) o en cualquiera de los lugares previstos al efecto por el artículo </w:t>
      </w:r>
      <w:r w:rsidR="001011F6">
        <w:rPr>
          <w:rFonts w:ascii="Verdana" w:hAnsi="Verdana"/>
          <w:sz w:val="22"/>
          <w:szCs w:val="22"/>
        </w:rPr>
        <w:t>134.8</w:t>
      </w:r>
      <w:r w:rsidRPr="002836A4">
        <w:rPr>
          <w:rFonts w:ascii="Verdana" w:hAnsi="Verdana"/>
          <w:sz w:val="22"/>
          <w:szCs w:val="22"/>
        </w:rPr>
        <w:t xml:space="preserve"> de la </w:t>
      </w:r>
      <w:r w:rsidR="001011F6" w:rsidRPr="007763BA">
        <w:rPr>
          <w:rFonts w:ascii="Verdana" w:hAnsi="Verdana"/>
          <w:sz w:val="22"/>
          <w:szCs w:val="22"/>
        </w:rPr>
        <w:t xml:space="preserve">Ley de </w:t>
      </w:r>
      <w:r w:rsidR="001011F6" w:rsidRPr="001011F6">
        <w:rPr>
          <w:rFonts w:ascii="Verdana" w:hAnsi="Verdana"/>
          <w:sz w:val="22"/>
          <w:szCs w:val="22"/>
        </w:rPr>
        <w:t xml:space="preserve">Cantabria </w:t>
      </w:r>
      <w:r w:rsidR="001011F6" w:rsidRPr="001011F6">
        <w:rPr>
          <w:rFonts w:ascii="Verdana" w:hAnsi="Verdana"/>
          <w:bCs/>
          <w:sz w:val="22"/>
          <w:szCs w:val="22"/>
        </w:rPr>
        <w:t>5/2018, de 22 de noviembre, de Régimen Jurídico del Gobierno, de la Administración y del Sector Público Institucional de la Comunidad Autónoma de Cantabria</w:t>
      </w:r>
      <w:r w:rsidRPr="002836A4">
        <w:rPr>
          <w:rFonts w:ascii="Verdana" w:hAnsi="Verdana"/>
          <w:sz w:val="22"/>
          <w:szCs w:val="22"/>
        </w:rPr>
        <w:t>.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CD7A9E" w:rsidP="00CD7A9E">
      <w:pPr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2.- En aplicación del Decreto 20/2012, de 12 de abril, de Simplificación Documental en los Procedimientos Administrativos (BOC nº 80, de 25 de</w:t>
      </w:r>
      <w:r>
        <w:rPr>
          <w:rFonts w:ascii="Verdana" w:hAnsi="Verdana"/>
          <w:sz w:val="22"/>
          <w:szCs w:val="22"/>
        </w:rPr>
        <w:t xml:space="preserve"> </w:t>
      </w:r>
      <w:r w:rsidRPr="002836A4">
        <w:rPr>
          <w:rFonts w:ascii="Verdana" w:hAnsi="Verdana"/>
          <w:sz w:val="22"/>
          <w:szCs w:val="22"/>
        </w:rPr>
        <w:t xml:space="preserve">abril), la persona solicitante puede autorizar al órgano gestor a que consulte y recabe sus datos de identificación personal, los datos de residencia y aquellos que, en su caso, estén en poder de </w:t>
      </w:r>
      <w:smartTag w:uri="urn:schemas-microsoft-com:office:smarttags" w:element="PersonName">
        <w:smartTagPr>
          <w:attr w:name="ProductID" w:val="la Administraci￳n"/>
        </w:smartTagPr>
        <w:r w:rsidRPr="002836A4">
          <w:rPr>
            <w:rFonts w:ascii="Verdana" w:hAnsi="Verdana"/>
            <w:sz w:val="22"/>
            <w:szCs w:val="22"/>
          </w:rPr>
          <w:t>la Administración</w:t>
        </w:r>
      </w:smartTag>
      <w:r w:rsidRPr="002836A4">
        <w:rPr>
          <w:rFonts w:ascii="Verdana" w:hAnsi="Verdana"/>
          <w:sz w:val="22"/>
          <w:szCs w:val="22"/>
        </w:rPr>
        <w:t xml:space="preserve"> de </w:t>
      </w:r>
      <w:smartTag w:uri="urn:schemas-microsoft-com:office:smarttags" w:element="PersonName">
        <w:smartTagPr>
          <w:attr w:name="ProductID" w:val="la Comunidad Aut￳noma"/>
        </w:smartTagPr>
        <w:r w:rsidRPr="002836A4">
          <w:rPr>
            <w:rFonts w:ascii="Verdana" w:hAnsi="Verdana"/>
            <w:sz w:val="22"/>
            <w:szCs w:val="22"/>
          </w:rPr>
          <w:t>la Comunidad Autónoma</w:t>
        </w:r>
      </w:smartTag>
      <w:r w:rsidRPr="002836A4">
        <w:rPr>
          <w:rFonts w:ascii="Verdana" w:hAnsi="Verdana"/>
          <w:sz w:val="22"/>
          <w:szCs w:val="22"/>
        </w:rPr>
        <w:t xml:space="preserve"> de Cantabria por haber sido previamente aportados o que puedan ser expedidos por </w:t>
      </w:r>
      <w:smartTag w:uri="urn:schemas-microsoft-com:office:smarttags" w:element="PersonName">
        <w:smartTagPr>
          <w:attr w:name="ProductID" w:val="la propia Administraci￳n"/>
        </w:smartTagPr>
        <w:r w:rsidRPr="002836A4">
          <w:rPr>
            <w:rFonts w:ascii="Verdana" w:hAnsi="Verdana"/>
            <w:sz w:val="22"/>
            <w:szCs w:val="22"/>
          </w:rPr>
          <w:t>la propia Administración</w:t>
        </w:r>
      </w:smartTag>
      <w:r w:rsidRPr="002836A4">
        <w:rPr>
          <w:rFonts w:ascii="Verdana" w:hAnsi="Verdana"/>
          <w:sz w:val="22"/>
          <w:szCs w:val="22"/>
        </w:rPr>
        <w:t xml:space="preserve"> o que obren en sus archivos o que puedan obtenerse de otra Administración a través de medios electrónicos, en aplicación de los artículos </w:t>
      </w:r>
      <w:smartTag w:uri="urn:schemas-microsoft-com:office:smarttags" w:element="metricconverter">
        <w:smartTagPr>
          <w:attr w:name="ProductID" w:val="7 a"/>
        </w:smartTagPr>
        <w:r w:rsidRPr="002836A4">
          <w:rPr>
            <w:rFonts w:ascii="Verdana" w:hAnsi="Verdana"/>
            <w:sz w:val="22"/>
            <w:szCs w:val="22"/>
          </w:rPr>
          <w:t>7 a</w:t>
        </w:r>
      </w:smartTag>
      <w:r w:rsidRPr="002836A4">
        <w:rPr>
          <w:rFonts w:ascii="Verdana" w:hAnsi="Verdana"/>
          <w:sz w:val="22"/>
          <w:szCs w:val="22"/>
        </w:rPr>
        <w:t xml:space="preserve"> 13 de dicho Decreto. 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lastRenderedPageBreak/>
        <w:t>En el supuesto de que el solicitante no otorgue esta autorización, y en aplicación del artículo 12 de dicho Decreto, deberá aportar, junto con la solicitud, original o fotocopia compulsada de los siguientes documentos acreditativos:</w:t>
      </w:r>
    </w:p>
    <w:p w:rsidR="00CD7A9E" w:rsidRPr="002836A4" w:rsidRDefault="00CD7A9E" w:rsidP="00CD7A9E">
      <w:pPr>
        <w:pStyle w:val="NormalWeb"/>
        <w:numPr>
          <w:ilvl w:val="0"/>
          <w:numId w:val="8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DNI o NIE en vigor.</w:t>
      </w:r>
    </w:p>
    <w:p w:rsidR="00CD7A9E" w:rsidRPr="002836A4" w:rsidRDefault="00CD7A9E" w:rsidP="00CD7A9E">
      <w:pPr>
        <w:pStyle w:val="NormalWeb"/>
        <w:numPr>
          <w:ilvl w:val="0"/>
          <w:numId w:val="8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Certificado o volante de empadronamiento en cualquiera de los municipios de </w:t>
      </w:r>
      <w:smartTag w:uri="urn:schemas-microsoft-com:office:smarttags" w:element="PersonName">
        <w:smartTagPr>
          <w:attr w:name="ProductID" w:val="la Comunidad Aut￳noma"/>
        </w:smartTagPr>
        <w:r w:rsidRPr="002836A4">
          <w:rPr>
            <w:rFonts w:ascii="Verdana" w:hAnsi="Verdana"/>
            <w:sz w:val="22"/>
            <w:szCs w:val="22"/>
          </w:rPr>
          <w:t>la Comunidad Autónoma</w:t>
        </w:r>
      </w:smartTag>
      <w:r w:rsidRPr="002836A4">
        <w:rPr>
          <w:rFonts w:ascii="Verdana" w:hAnsi="Verdana"/>
          <w:sz w:val="22"/>
          <w:szCs w:val="22"/>
        </w:rPr>
        <w:t xml:space="preserve"> de Cantabria vigente en la fecha de publicación de </w:t>
      </w:r>
      <w:smartTag w:uri="urn:schemas-microsoft-com:office:smarttags" w:element="PersonName">
        <w:smartTagPr>
          <w:attr w:name="ProductID" w:val="la presente Orden."/>
        </w:smartTagPr>
        <w:r w:rsidRPr="002836A4">
          <w:rPr>
            <w:rFonts w:ascii="Verdana" w:hAnsi="Verdana"/>
            <w:sz w:val="22"/>
            <w:szCs w:val="22"/>
          </w:rPr>
          <w:t>la presente Orden.</w:t>
        </w:r>
      </w:smartTag>
    </w:p>
    <w:p w:rsidR="00CD7A9E" w:rsidRPr="002836A4" w:rsidRDefault="00CD7A9E" w:rsidP="00CD7A9E">
      <w:pPr>
        <w:pStyle w:val="NormalWeb"/>
        <w:numPr>
          <w:ilvl w:val="0"/>
          <w:numId w:val="8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Fotocopia compulsada del título correspondiente o, en su defecto, justificación del pago de los derechos de expedición de la titulación requerida, o bien, fotocopia del mismo junto con el original para su cotejo. Los expedientes académicos de estudios realizados en el extranjero o en centros españoles no públicos deberán ir acompañados de la fotocopia compulsada de la homologación concedida por el Ministerio de Educación. 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ind w:left="360"/>
        <w:jc w:val="both"/>
        <w:rPr>
          <w:rFonts w:ascii="Verdana" w:hAnsi="Verdana"/>
          <w:sz w:val="22"/>
          <w:szCs w:val="22"/>
        </w:rPr>
      </w:pPr>
    </w:p>
    <w:p w:rsidR="00CD7A9E" w:rsidRPr="002836A4" w:rsidRDefault="000C6B55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Asimismo,</w:t>
      </w:r>
      <w:r w:rsidR="00CD7A9E" w:rsidRPr="002836A4">
        <w:rPr>
          <w:rFonts w:ascii="Verdana" w:hAnsi="Verdana"/>
          <w:sz w:val="22"/>
          <w:szCs w:val="22"/>
        </w:rPr>
        <w:t xml:space="preserve"> todas las solicitudes deberán incluir:</w:t>
      </w:r>
    </w:p>
    <w:p w:rsidR="00CD7A9E" w:rsidRPr="002836A4" w:rsidRDefault="00CD7A9E" w:rsidP="00CD7A9E">
      <w:pPr>
        <w:pStyle w:val="NormalWeb"/>
        <w:numPr>
          <w:ilvl w:val="0"/>
          <w:numId w:val="10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Fotocopia de la certificación de expediente académico con calificaciones debidamente compulsada o junto con el original para su cotejo. En el caso de contar con titulaciones de primer y segundo ciclo, o adaptación al grado, se presentarán los correspondientes a ambas.</w:t>
      </w:r>
    </w:p>
    <w:p w:rsidR="00CD7A9E" w:rsidRPr="002836A4" w:rsidRDefault="00CD7A9E" w:rsidP="00CD7A9E">
      <w:pPr>
        <w:pStyle w:val="NormalWeb"/>
        <w:numPr>
          <w:ilvl w:val="0"/>
          <w:numId w:val="10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Currículum vitae del solicitante, con exposición de los méritos académicos y profesionales que se posean y fotocopia de la documentación acreditativa de todos y cada uno de los méritos alegados junto con el original para su cotejo. Únicamente se valorarán aquellos méritos acreditados documentalmente y aquellos referidos a actividades o programas concluidos por el solicitante en la fecha de presentación de su solicitud.</w:t>
      </w:r>
    </w:p>
    <w:p w:rsidR="00CD7A9E" w:rsidRPr="002836A4" w:rsidRDefault="00CD7A9E" w:rsidP="00CD7A9E">
      <w:pPr>
        <w:pStyle w:val="NormalWeb"/>
        <w:numPr>
          <w:ilvl w:val="0"/>
          <w:numId w:val="10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Declaración responsable según figura en el Anexo de </w:t>
      </w:r>
      <w:smartTag w:uri="urn:schemas-microsoft-com:office:smarttags" w:element="PersonName">
        <w:smartTagPr>
          <w:attr w:name="ProductID" w:val="la presente Orden"/>
        </w:smartTagPr>
        <w:r w:rsidRPr="002836A4">
          <w:rPr>
            <w:rFonts w:ascii="Verdana" w:hAnsi="Verdana"/>
            <w:sz w:val="22"/>
            <w:szCs w:val="22"/>
          </w:rPr>
          <w:t>la presente Orden</w:t>
        </w:r>
      </w:smartTag>
      <w:r w:rsidRPr="002836A4">
        <w:rPr>
          <w:rFonts w:ascii="Verdana" w:hAnsi="Verdana"/>
          <w:sz w:val="22"/>
          <w:szCs w:val="22"/>
        </w:rPr>
        <w:t xml:space="preserve"> de: </w:t>
      </w:r>
    </w:p>
    <w:p w:rsidR="00CD7A9E" w:rsidRPr="002836A4" w:rsidRDefault="00CD7A9E" w:rsidP="00CD7A9E">
      <w:pPr>
        <w:pStyle w:val="NormalWeb"/>
        <w:numPr>
          <w:ilvl w:val="0"/>
          <w:numId w:val="9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No estar incurso en ninguna de las prohibiciones previstas en el articulo 12.2 de </w:t>
      </w:r>
      <w:smartTag w:uri="urn:schemas-microsoft-com:office:smarttags" w:element="PersonName">
        <w:smartTagPr>
          <w:attr w:name="ProductID" w:val="la Ley"/>
        </w:smartTagPr>
        <w:r w:rsidRPr="002836A4">
          <w:rPr>
            <w:rFonts w:ascii="Verdana" w:hAnsi="Verdana"/>
            <w:sz w:val="22"/>
            <w:szCs w:val="22"/>
          </w:rPr>
          <w:t>la Ley</w:t>
        </w:r>
      </w:smartTag>
      <w:r w:rsidRPr="002836A4">
        <w:rPr>
          <w:rFonts w:ascii="Verdana" w:hAnsi="Verdana"/>
          <w:sz w:val="22"/>
          <w:szCs w:val="22"/>
        </w:rPr>
        <w:t xml:space="preserve"> 10/2006, de 17 de julio, de Subvenciones de Cantabria</w:t>
      </w:r>
    </w:p>
    <w:p w:rsidR="00CD7A9E" w:rsidRPr="002836A4" w:rsidRDefault="00CD7A9E" w:rsidP="00CD7A9E">
      <w:pPr>
        <w:pStyle w:val="NormalWeb"/>
        <w:numPr>
          <w:ilvl w:val="0"/>
          <w:numId w:val="9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Cumplimiento de obligaciones tributarias y con </w:t>
      </w:r>
      <w:smartTag w:uri="urn:schemas-microsoft-com:office:smarttags" w:element="PersonName">
        <w:smartTagPr>
          <w:attr w:name="ProductID" w:val="la Seguridad Social"/>
        </w:smartTagPr>
        <w:r w:rsidRPr="002836A4">
          <w:rPr>
            <w:rFonts w:ascii="Verdana" w:hAnsi="Verdana"/>
            <w:sz w:val="22"/>
            <w:szCs w:val="22"/>
          </w:rPr>
          <w:t>la Seguridad Social</w:t>
        </w:r>
      </w:smartTag>
      <w:r w:rsidRPr="002836A4">
        <w:rPr>
          <w:rFonts w:ascii="Verdana" w:hAnsi="Verdana"/>
          <w:sz w:val="22"/>
          <w:szCs w:val="22"/>
        </w:rPr>
        <w:t xml:space="preserve"> o cualquier otro ingreso de derecho público de conformidad con el Art. 24 del R.D. 887/2006, de 21 de Julio, por el que se aprueba el Reglamento de </w:t>
      </w:r>
      <w:smartTag w:uri="urn:schemas-microsoft-com:office:smarttags" w:element="PersonName">
        <w:smartTagPr>
          <w:attr w:name="ProductID" w:val="la Ley"/>
        </w:smartTagPr>
        <w:r w:rsidRPr="002836A4">
          <w:rPr>
            <w:rFonts w:ascii="Verdana" w:hAnsi="Verdana"/>
            <w:sz w:val="22"/>
            <w:szCs w:val="22"/>
          </w:rPr>
          <w:t>la Ley</w:t>
        </w:r>
      </w:smartTag>
      <w:r w:rsidRPr="002836A4">
        <w:rPr>
          <w:rFonts w:ascii="Verdana" w:hAnsi="Verdana"/>
          <w:sz w:val="22"/>
          <w:szCs w:val="22"/>
        </w:rPr>
        <w:t xml:space="preserve"> 38/2003, de 17 de </w:t>
      </w:r>
      <w:r w:rsidR="000C6B55" w:rsidRPr="002836A4">
        <w:rPr>
          <w:rFonts w:ascii="Verdana" w:hAnsi="Verdana"/>
          <w:sz w:val="22"/>
          <w:szCs w:val="22"/>
        </w:rPr>
        <w:t>noviembre</w:t>
      </w:r>
      <w:r w:rsidRPr="002836A4">
        <w:rPr>
          <w:rFonts w:ascii="Verdana" w:hAnsi="Verdana"/>
          <w:sz w:val="22"/>
          <w:szCs w:val="22"/>
        </w:rPr>
        <w:t>, General de Subvenciones.</w:t>
      </w:r>
    </w:p>
    <w:p w:rsidR="00CD7A9E" w:rsidRPr="002836A4" w:rsidRDefault="00CD7A9E" w:rsidP="00CD7A9E">
      <w:pPr>
        <w:pStyle w:val="NormalWeb"/>
        <w:numPr>
          <w:ilvl w:val="0"/>
          <w:numId w:val="9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No haber sido separado del servicio de ninguna Administración u organismo público o privado como consecuencia de expediente disciplinario.</w:t>
      </w:r>
    </w:p>
    <w:p w:rsidR="00CD7A9E" w:rsidRPr="002836A4" w:rsidRDefault="00CD7A9E" w:rsidP="00CD7A9E">
      <w:pPr>
        <w:pStyle w:val="NormalWeb"/>
        <w:numPr>
          <w:ilvl w:val="0"/>
          <w:numId w:val="9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No haber sido beneficiario de una beca de formación en </w:t>
      </w:r>
      <w:smartTag w:uri="urn:schemas-microsoft-com:office:smarttags" w:element="PersonName">
        <w:smartTagPr>
          <w:attr w:name="ProductID" w:val="la Administraci￳n"/>
        </w:smartTagPr>
        <w:r w:rsidRPr="002836A4">
          <w:rPr>
            <w:rFonts w:ascii="Verdana" w:hAnsi="Verdana"/>
            <w:sz w:val="22"/>
            <w:szCs w:val="22"/>
          </w:rPr>
          <w:t>la Administración</w:t>
        </w:r>
      </w:smartTag>
      <w:r w:rsidRPr="002836A4">
        <w:rPr>
          <w:rFonts w:ascii="Verdana" w:hAnsi="Verdana"/>
          <w:sz w:val="22"/>
          <w:szCs w:val="22"/>
        </w:rPr>
        <w:t xml:space="preserve"> de </w:t>
      </w:r>
      <w:smartTag w:uri="urn:schemas-microsoft-com:office:smarttags" w:element="PersonName">
        <w:smartTagPr>
          <w:attr w:name="ProductID" w:val="la Comunidad Aut￳noma"/>
        </w:smartTagPr>
        <w:smartTag w:uri="urn:schemas-microsoft-com:office:smarttags" w:element="PersonName">
          <w:smartTagPr>
            <w:attr w:name="ProductID" w:val="la Comunidad"/>
          </w:smartTagPr>
          <w:r w:rsidRPr="002836A4">
            <w:rPr>
              <w:rFonts w:ascii="Verdana" w:hAnsi="Verdana"/>
              <w:sz w:val="22"/>
              <w:szCs w:val="22"/>
            </w:rPr>
            <w:t>la Comunidad</w:t>
          </w:r>
        </w:smartTag>
        <w:r w:rsidRPr="002836A4">
          <w:rPr>
            <w:rFonts w:ascii="Verdana" w:hAnsi="Verdana"/>
            <w:sz w:val="22"/>
            <w:szCs w:val="22"/>
          </w:rPr>
          <w:t xml:space="preserve"> Autónoma</w:t>
        </w:r>
      </w:smartTag>
      <w:r w:rsidRPr="002836A4">
        <w:rPr>
          <w:rFonts w:ascii="Verdana" w:hAnsi="Verdana"/>
          <w:sz w:val="22"/>
          <w:szCs w:val="22"/>
        </w:rPr>
        <w:t xml:space="preserve"> de Cantabria durante dos o más años.</w:t>
      </w:r>
    </w:p>
    <w:p w:rsidR="00CD7A9E" w:rsidRPr="002836A4" w:rsidRDefault="00CD7A9E" w:rsidP="00CD7A9E">
      <w:pPr>
        <w:pStyle w:val="NormalWeb"/>
        <w:numPr>
          <w:ilvl w:val="0"/>
          <w:numId w:val="9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Renuncia a otras becas, remuneraciones o ayudas de carácter público o privado para la misma finalidad, en el caso de ser seleccionado.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ind w:left="360"/>
        <w:jc w:val="both"/>
        <w:rPr>
          <w:rFonts w:ascii="Verdana" w:hAnsi="Verdana"/>
          <w:sz w:val="22"/>
          <w:szCs w:val="22"/>
        </w:rPr>
      </w:pP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3.- El ICANE comprobará si la documentación presentada por los solicitantes es incompleta o defectuosa, en cuyo caso se les notificará a los interesados mediante la publicación en el tablón de anuncios del ICANE (Hernán Cortes 9, 1ª planta de Santander) y en su página web (</w:t>
      </w:r>
      <w:hyperlink r:id="rId11" w:history="1">
        <w:r w:rsidR="00EB0A25" w:rsidRPr="008772A6">
          <w:rPr>
            <w:rStyle w:val="Hipervnculo"/>
            <w:rFonts w:ascii="Verdana" w:hAnsi="Verdana"/>
            <w:sz w:val="22"/>
            <w:szCs w:val="22"/>
          </w:rPr>
          <w:t>https://www.icane.es</w:t>
        </w:r>
      </w:hyperlink>
      <w:r w:rsidRPr="002836A4">
        <w:rPr>
          <w:rFonts w:ascii="Verdana" w:hAnsi="Verdana"/>
          <w:sz w:val="22"/>
          <w:szCs w:val="22"/>
        </w:rPr>
        <w:t xml:space="preserve">), concediéndoles un plazo de diez días hábiles para que subsanen la omisión o insuficiencia. Si transcurrido ese plazo la subsanación no ha sido realizada, se tendrá al solicitante por desistido de su petición, previa resolución que </w:t>
      </w:r>
      <w:r w:rsidRPr="002836A4">
        <w:rPr>
          <w:rFonts w:ascii="Verdana" w:hAnsi="Verdana"/>
          <w:sz w:val="22"/>
          <w:szCs w:val="22"/>
        </w:rPr>
        <w:lastRenderedPageBreak/>
        <w:t xml:space="preserve">deberá ser dictada en los términos previstos en el </w:t>
      </w:r>
      <w:r w:rsidRPr="006A4DA1">
        <w:rPr>
          <w:rFonts w:ascii="Verdana" w:hAnsi="Verdana"/>
          <w:sz w:val="22"/>
          <w:szCs w:val="22"/>
        </w:rPr>
        <w:t xml:space="preserve">artículo </w:t>
      </w:r>
      <w:r w:rsidR="00EB0A25" w:rsidRPr="006A4DA1">
        <w:rPr>
          <w:rFonts w:ascii="Verdana" w:hAnsi="Verdana"/>
          <w:sz w:val="22"/>
          <w:szCs w:val="22"/>
        </w:rPr>
        <w:t>21</w:t>
      </w:r>
      <w:r w:rsidRPr="006A4DA1">
        <w:rPr>
          <w:rFonts w:ascii="Verdana" w:hAnsi="Verdana"/>
          <w:sz w:val="22"/>
          <w:szCs w:val="22"/>
        </w:rPr>
        <w:t xml:space="preserve"> de la </w:t>
      </w:r>
      <w:bookmarkStart w:id="0" w:name="OLE_LINK1"/>
      <w:bookmarkStart w:id="1" w:name="OLE_LINK2"/>
      <w:r w:rsidRPr="006A4DA1">
        <w:rPr>
          <w:rFonts w:ascii="Verdana" w:hAnsi="Verdana"/>
          <w:sz w:val="22"/>
          <w:szCs w:val="22"/>
        </w:rPr>
        <w:t xml:space="preserve">Ley </w:t>
      </w:r>
      <w:r w:rsidR="00EB0A25" w:rsidRPr="006A4DA1">
        <w:rPr>
          <w:rFonts w:ascii="Verdana" w:hAnsi="Verdana"/>
          <w:sz w:val="22"/>
          <w:szCs w:val="22"/>
        </w:rPr>
        <w:t xml:space="preserve">39/2015, de 1 de octubre, </w:t>
      </w:r>
      <w:r w:rsidRPr="006A4DA1">
        <w:rPr>
          <w:rFonts w:ascii="Verdana" w:hAnsi="Verdana"/>
          <w:sz w:val="22"/>
          <w:szCs w:val="22"/>
        </w:rPr>
        <w:t>del Procedimiento Administrativo Común</w:t>
      </w:r>
      <w:bookmarkEnd w:id="0"/>
      <w:bookmarkEnd w:id="1"/>
      <w:r w:rsidRPr="002836A4">
        <w:rPr>
          <w:rFonts w:ascii="Verdana" w:hAnsi="Verdana"/>
          <w:sz w:val="22"/>
          <w:szCs w:val="22"/>
        </w:rPr>
        <w:t>. El ICANE solo solicitará que se subsane aquella documentación que es requisito indispensable para presentarse a la convocatoria.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4.- La presentación de la solicitud implica el conocimiento y aceptación de las presentes bases reguladoras de la convocatoria.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  <w:highlight w:val="yellow"/>
        </w:rPr>
      </w:pPr>
    </w:p>
    <w:p w:rsidR="00CD7A9E" w:rsidRPr="00A16E9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  <w:highlight w:val="magenta"/>
        </w:rPr>
      </w:pPr>
      <w:r w:rsidRPr="007763BA">
        <w:rPr>
          <w:rFonts w:ascii="Verdana" w:hAnsi="Verdana"/>
          <w:b/>
          <w:sz w:val="22"/>
          <w:szCs w:val="22"/>
        </w:rPr>
        <w:t xml:space="preserve">Artículo </w:t>
      </w:r>
      <w:r w:rsidR="00A136AC">
        <w:rPr>
          <w:rFonts w:ascii="Verdana" w:hAnsi="Verdana"/>
          <w:b/>
          <w:sz w:val="22"/>
          <w:szCs w:val="22"/>
        </w:rPr>
        <w:t>10</w:t>
      </w:r>
      <w:r w:rsidRPr="007763BA">
        <w:rPr>
          <w:rFonts w:ascii="Verdana" w:hAnsi="Verdana"/>
          <w:b/>
          <w:sz w:val="22"/>
          <w:szCs w:val="22"/>
        </w:rPr>
        <w:t>.- Criterios de selección</w:t>
      </w:r>
      <w:r>
        <w:rPr>
          <w:rFonts w:ascii="Verdana" w:hAnsi="Verdana"/>
          <w:b/>
          <w:sz w:val="22"/>
          <w:szCs w:val="22"/>
        </w:rPr>
        <w:t>.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1.- La selección de los aspirantes se ajustará a los principios de mérito y capacidad y se efectuará en dos fases. La puntuación final será el resultado de sumar la puntuación obtenida en las dos fases. En el caso de que dos o más aspirantes empaten en el mismo número de puntos se utilizará la nota media para dirimirlo.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2.- A </w:t>
      </w:r>
      <w:r w:rsidR="000C6B55">
        <w:rPr>
          <w:rFonts w:ascii="Verdana" w:hAnsi="Verdana"/>
          <w:sz w:val="22"/>
          <w:szCs w:val="22"/>
        </w:rPr>
        <w:t>continuación,</w:t>
      </w:r>
      <w:r w:rsidRPr="002836A4">
        <w:rPr>
          <w:rFonts w:ascii="Verdana" w:hAnsi="Verdana"/>
          <w:sz w:val="22"/>
          <w:szCs w:val="22"/>
        </w:rPr>
        <w:t xml:space="preserve"> se exponen los criterios de selección y baremación en función del área en el que se desarrolle la beca.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706507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PRIMERA FASE</w:t>
      </w:r>
      <w:r>
        <w:rPr>
          <w:rFonts w:ascii="Verdana" w:hAnsi="Verdana"/>
          <w:sz w:val="22"/>
          <w:szCs w:val="22"/>
        </w:rPr>
        <w:t>: v</w:t>
      </w:r>
      <w:r w:rsidR="00CD7A9E" w:rsidRPr="002836A4">
        <w:rPr>
          <w:rFonts w:ascii="Verdana" w:hAnsi="Verdana"/>
          <w:sz w:val="22"/>
          <w:szCs w:val="22"/>
        </w:rPr>
        <w:t>aloración de méritos de acuerdo con el siguiente baremo (hasta un máximo de 5 puntos):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A) Expediente académico hasta un máximo de 3 puntos. Se valorará la nota media que figura en el expediente calculada con arreglo a la escala cuantitativa (0-10). En el caso de que la nota media del expediente esté calculada con otra escala se transformará aplicando una media ponderada en función del número de créditos. 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Se otorgará la siguiente puntuación a la nota media:</w:t>
      </w:r>
    </w:p>
    <w:p w:rsidR="00CD7A9E" w:rsidRPr="002836A4" w:rsidRDefault="00CD7A9E" w:rsidP="00CD7A9E">
      <w:pPr>
        <w:pStyle w:val="NormalWeb"/>
        <w:numPr>
          <w:ilvl w:val="0"/>
          <w:numId w:val="17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De </w:t>
      </w:r>
      <w:smartTag w:uri="urn:schemas-microsoft-com:office:smarttags" w:element="metricconverter">
        <w:smartTagPr>
          <w:attr w:name="ProductID" w:val="5,00 a"/>
        </w:smartTagPr>
        <w:r w:rsidRPr="002836A4">
          <w:rPr>
            <w:rFonts w:ascii="Verdana" w:hAnsi="Verdana"/>
            <w:sz w:val="22"/>
            <w:szCs w:val="22"/>
          </w:rPr>
          <w:t>5,00 a</w:t>
        </w:r>
      </w:smartTag>
      <w:r w:rsidRPr="002836A4">
        <w:rPr>
          <w:rFonts w:ascii="Verdana" w:hAnsi="Verdana"/>
          <w:sz w:val="22"/>
          <w:szCs w:val="22"/>
        </w:rPr>
        <w:t xml:space="preserve"> 5,99: 0 puntos</w:t>
      </w:r>
    </w:p>
    <w:p w:rsidR="00CD7A9E" w:rsidRPr="002836A4" w:rsidRDefault="00CD7A9E" w:rsidP="00CD7A9E">
      <w:pPr>
        <w:pStyle w:val="NormalWeb"/>
        <w:numPr>
          <w:ilvl w:val="0"/>
          <w:numId w:val="17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De </w:t>
      </w:r>
      <w:smartTag w:uri="urn:schemas-microsoft-com:office:smarttags" w:element="metricconverter">
        <w:smartTagPr>
          <w:attr w:name="ProductID" w:val="6 a"/>
        </w:smartTagPr>
        <w:r w:rsidRPr="002836A4">
          <w:rPr>
            <w:rFonts w:ascii="Verdana" w:hAnsi="Verdana"/>
            <w:sz w:val="22"/>
            <w:szCs w:val="22"/>
          </w:rPr>
          <w:t>6 a</w:t>
        </w:r>
      </w:smartTag>
      <w:r w:rsidRPr="002836A4">
        <w:rPr>
          <w:rFonts w:ascii="Verdana" w:hAnsi="Verdana"/>
          <w:sz w:val="22"/>
          <w:szCs w:val="22"/>
        </w:rPr>
        <w:t xml:space="preserve"> 6,99: 1 punto</w:t>
      </w:r>
    </w:p>
    <w:p w:rsidR="00CD7A9E" w:rsidRPr="002836A4" w:rsidRDefault="00CD7A9E" w:rsidP="00CD7A9E">
      <w:pPr>
        <w:pStyle w:val="NormalWeb"/>
        <w:numPr>
          <w:ilvl w:val="0"/>
          <w:numId w:val="17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De </w:t>
      </w:r>
      <w:smartTag w:uri="urn:schemas-microsoft-com:office:smarttags" w:element="metricconverter">
        <w:smartTagPr>
          <w:attr w:name="ProductID" w:val="7 a"/>
        </w:smartTagPr>
        <w:r w:rsidRPr="002836A4">
          <w:rPr>
            <w:rFonts w:ascii="Verdana" w:hAnsi="Verdana"/>
            <w:sz w:val="22"/>
            <w:szCs w:val="22"/>
          </w:rPr>
          <w:t>7 a</w:t>
        </w:r>
      </w:smartTag>
      <w:r w:rsidRPr="002836A4">
        <w:rPr>
          <w:rFonts w:ascii="Verdana" w:hAnsi="Verdana"/>
          <w:sz w:val="22"/>
          <w:szCs w:val="22"/>
        </w:rPr>
        <w:t xml:space="preserve"> 7,99: 2 puntos</w:t>
      </w:r>
    </w:p>
    <w:p w:rsidR="00CD7A9E" w:rsidRPr="002836A4" w:rsidRDefault="00CD7A9E" w:rsidP="00CD7A9E">
      <w:pPr>
        <w:pStyle w:val="NormalWeb"/>
        <w:numPr>
          <w:ilvl w:val="0"/>
          <w:numId w:val="17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De </w:t>
      </w:r>
      <w:smartTag w:uri="urn:schemas-microsoft-com:office:smarttags" w:element="metricconverter">
        <w:smartTagPr>
          <w:attr w:name="ProductID" w:val="8,00 a"/>
        </w:smartTagPr>
        <w:r w:rsidRPr="002836A4">
          <w:rPr>
            <w:rFonts w:ascii="Verdana" w:hAnsi="Verdana"/>
            <w:sz w:val="22"/>
            <w:szCs w:val="22"/>
          </w:rPr>
          <w:t>8,00 a</w:t>
        </w:r>
      </w:smartTag>
      <w:r w:rsidRPr="002836A4">
        <w:rPr>
          <w:rFonts w:ascii="Verdana" w:hAnsi="Verdana"/>
          <w:sz w:val="22"/>
          <w:szCs w:val="22"/>
        </w:rPr>
        <w:t xml:space="preserve"> 10,00: 3 puntos</w:t>
      </w:r>
    </w:p>
    <w:p w:rsidR="00A136AC" w:rsidRDefault="00A136AC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B) Cursos de formación y perfeccionamiento en el área de informática, programación y bases de datos, así como otras titulaciones ofíciales relacionadas con el objeto de la convocatoria hasta un máximo de 1 punto. Se valorarán solamente los cursos directamente relacionados con el área de d</w:t>
      </w:r>
      <w:r w:rsidR="000C6B55">
        <w:rPr>
          <w:rFonts w:ascii="Verdana" w:hAnsi="Verdana"/>
          <w:sz w:val="22"/>
          <w:szCs w:val="22"/>
        </w:rPr>
        <w:t>esarrollo de la beca (artículo 5</w:t>
      </w:r>
      <w:r w:rsidRPr="002836A4">
        <w:rPr>
          <w:rFonts w:ascii="Verdana" w:hAnsi="Verdana"/>
          <w:sz w:val="22"/>
          <w:szCs w:val="22"/>
        </w:rPr>
        <w:t xml:space="preserve"> de la Orden) impartidos por instituciones y organismos oficiales y debidamente acreditados a razón de:</w:t>
      </w:r>
    </w:p>
    <w:p w:rsidR="00CD7A9E" w:rsidRPr="002836A4" w:rsidRDefault="00CD7A9E" w:rsidP="00CD7A9E">
      <w:pPr>
        <w:pStyle w:val="NormalWeb"/>
        <w:numPr>
          <w:ilvl w:val="0"/>
          <w:numId w:val="18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0,1 puntos por cada curso de duración igual superior a 20 horas</w:t>
      </w:r>
    </w:p>
    <w:p w:rsidR="00CD7A9E" w:rsidRPr="002836A4" w:rsidRDefault="00CD7A9E" w:rsidP="00CD7A9E">
      <w:pPr>
        <w:pStyle w:val="NormalWeb"/>
        <w:numPr>
          <w:ilvl w:val="0"/>
          <w:numId w:val="18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0,2 puntos por cada curso de duración igual o superior a 40 horas</w:t>
      </w:r>
    </w:p>
    <w:p w:rsidR="00CD7A9E" w:rsidRPr="002836A4" w:rsidRDefault="00CD7A9E" w:rsidP="00CD7A9E">
      <w:pPr>
        <w:pStyle w:val="NormalWeb"/>
        <w:numPr>
          <w:ilvl w:val="0"/>
          <w:numId w:val="18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0,5 puntos por cada curso de duración igual o superior a 100 horas</w:t>
      </w:r>
    </w:p>
    <w:p w:rsidR="00CD7A9E" w:rsidRPr="002836A4" w:rsidRDefault="00CD7A9E" w:rsidP="00CD7A9E">
      <w:pPr>
        <w:pStyle w:val="NormalWeb"/>
        <w:numPr>
          <w:ilvl w:val="0"/>
          <w:numId w:val="18"/>
        </w:numPr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1 punto por cada curso de especialización o master de duración igual o superior a 200 horas o ciclo formativo</w:t>
      </w:r>
    </w:p>
    <w:p w:rsidR="00A136AC" w:rsidRPr="002836A4" w:rsidRDefault="00A136AC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A136AC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6A4DA1">
        <w:rPr>
          <w:rFonts w:ascii="Verdana" w:hAnsi="Verdana"/>
          <w:sz w:val="22"/>
          <w:szCs w:val="22"/>
        </w:rPr>
        <w:t xml:space="preserve">C) Experiencia práctica: 0,10 </w:t>
      </w:r>
      <w:r w:rsidR="00CD7A9E" w:rsidRPr="006A4DA1">
        <w:rPr>
          <w:rFonts w:ascii="Verdana" w:hAnsi="Verdana"/>
          <w:sz w:val="22"/>
          <w:szCs w:val="22"/>
        </w:rPr>
        <w:t xml:space="preserve">puntos por cada mes trabajado a jornada completa en materias relacionadas con el área de desarrollo de la beca hasta un máximo de 1 punto. Esta experiencia se acreditará mediante informe de vida laboral expedido por </w:t>
      </w:r>
      <w:smartTag w:uri="urn:schemas-microsoft-com:office:smarttags" w:element="PersonName">
        <w:smartTagPr>
          <w:attr w:name="ProductID" w:val="la Seguridad Social. En"/>
        </w:smartTagPr>
        <w:r w:rsidR="00CD7A9E" w:rsidRPr="006A4DA1">
          <w:rPr>
            <w:rFonts w:ascii="Verdana" w:hAnsi="Verdana"/>
            <w:sz w:val="22"/>
            <w:szCs w:val="22"/>
          </w:rPr>
          <w:t>la Seguridad Social. En</w:t>
        </w:r>
      </w:smartTag>
      <w:r w:rsidR="00CD7A9E" w:rsidRPr="006A4DA1">
        <w:rPr>
          <w:rFonts w:ascii="Verdana" w:hAnsi="Verdana"/>
          <w:sz w:val="22"/>
          <w:szCs w:val="22"/>
        </w:rPr>
        <w:t xml:space="preserve"> el caso de prácticas por las que no se haya cotizado a </w:t>
      </w:r>
      <w:smartTag w:uri="urn:schemas-microsoft-com:office:smarttags" w:element="PersonName">
        <w:smartTagPr>
          <w:attr w:name="ProductID" w:val="la Seguridad Social"/>
        </w:smartTagPr>
        <w:r w:rsidR="00CD7A9E" w:rsidRPr="006A4DA1">
          <w:rPr>
            <w:rFonts w:ascii="Verdana" w:hAnsi="Verdana"/>
            <w:sz w:val="22"/>
            <w:szCs w:val="22"/>
          </w:rPr>
          <w:t>la Seguridad Social</w:t>
        </w:r>
      </w:smartTag>
      <w:r w:rsidR="00CD7A9E" w:rsidRPr="006A4DA1">
        <w:rPr>
          <w:rFonts w:ascii="Verdana" w:hAnsi="Verdana"/>
          <w:sz w:val="22"/>
          <w:szCs w:val="22"/>
        </w:rPr>
        <w:t xml:space="preserve">, la experiencia se acreditará con un certificado en el que se especifiquen las labores </w:t>
      </w:r>
      <w:r w:rsidRPr="006A4DA1">
        <w:rPr>
          <w:rFonts w:ascii="Verdana" w:hAnsi="Verdana"/>
          <w:sz w:val="22"/>
          <w:szCs w:val="22"/>
        </w:rPr>
        <w:t>realizadas,</w:t>
      </w:r>
      <w:r w:rsidR="00CD7A9E" w:rsidRPr="006A4DA1">
        <w:rPr>
          <w:rFonts w:ascii="Verdana" w:hAnsi="Verdana"/>
          <w:sz w:val="22"/>
          <w:szCs w:val="22"/>
        </w:rPr>
        <w:t xml:space="preserve"> así como la duración de las mismas. En ningún caso puntuarán las prácticas curriculares.</w:t>
      </w:r>
    </w:p>
    <w:p w:rsidR="00A136AC" w:rsidRDefault="00A136AC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C00642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lastRenderedPageBreak/>
        <w:t>SEGUNDA FASE</w:t>
      </w:r>
      <w:r w:rsidR="00CD7A9E" w:rsidRPr="002836A4">
        <w:rPr>
          <w:rFonts w:ascii="Verdana" w:hAnsi="Verdana"/>
          <w:sz w:val="22"/>
          <w:szCs w:val="22"/>
        </w:rPr>
        <w:t>: Entrevista personal (hasta un máximo de 5 puntos).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El Comité de Selección podrá realizar una entrevista a un máximo de 10 aspirantes que hayan obtenido la mayor puntuación en la primera fase. Dicha entrevista versará sobre la formación y conocimientos del aspirante respecto a aquellos aspectos que el Comité estime pertinente en relación con el área a la que se refiere la presente convocatoria. Se valorará asimismo la aptitud para la formación teórica y práctica, la capacidad de iniciativa y la disposición al aprendizaje. 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  <w:highlight w:val="yellow"/>
        </w:rPr>
      </w:pPr>
    </w:p>
    <w:p w:rsidR="00CD7A9E" w:rsidRPr="005121BB" w:rsidRDefault="00A136AC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  <w:highlight w:val="magenta"/>
        </w:rPr>
      </w:pPr>
      <w:r>
        <w:rPr>
          <w:rFonts w:ascii="Verdana" w:hAnsi="Verdana"/>
          <w:b/>
          <w:sz w:val="22"/>
          <w:szCs w:val="22"/>
        </w:rPr>
        <w:t>Artículo 11</w:t>
      </w:r>
      <w:r w:rsidR="00CD7A9E" w:rsidRPr="00104DE5">
        <w:rPr>
          <w:rFonts w:ascii="Verdana" w:hAnsi="Verdana"/>
          <w:b/>
          <w:sz w:val="22"/>
          <w:szCs w:val="22"/>
        </w:rPr>
        <w:t>.</w:t>
      </w:r>
      <w:r w:rsidR="00CD7A9E">
        <w:rPr>
          <w:rFonts w:ascii="Verdana" w:hAnsi="Verdana"/>
          <w:b/>
          <w:sz w:val="22"/>
          <w:szCs w:val="22"/>
        </w:rPr>
        <w:t>- Resolución.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1.- El Comité de Selección se reunirá para examinar y elevar, en un plazo máximo de dos meses, a partir de la terminación del plazo de presentación de solicitudes o de la finalización del plazo para las eventuales subsanaciones, la propuesta de concesión al Director del ICANE. 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2.-La propuesta del Comité podrá incluir un total de cinco suplentes, por cada </w:t>
      </w:r>
      <w:r w:rsidR="0089214B">
        <w:rPr>
          <w:rFonts w:ascii="Verdana" w:hAnsi="Verdana"/>
          <w:sz w:val="22"/>
          <w:szCs w:val="22"/>
        </w:rPr>
        <w:t>beca</w:t>
      </w:r>
      <w:r w:rsidRPr="002836A4">
        <w:rPr>
          <w:rFonts w:ascii="Verdana" w:hAnsi="Verdana"/>
          <w:sz w:val="22"/>
          <w:szCs w:val="22"/>
        </w:rPr>
        <w:t>, para el supuesto de renuncia de alguno de los beneficiarios o de pérdida de la condición de becario/a. La convocatoria podrá ser declarada desierta, ya sea por no haber concurrencia o por no alcanzar ningún candidato los méritos necesarios para el desarrollo y realización de las tareas de formación.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 xml:space="preserve">3.- La competencia para resolver corresponde al Director del ICANE conforme con lo establecido en el artículo 9.1 de </w:t>
      </w:r>
      <w:smartTag w:uri="urn:schemas-microsoft-com:office:smarttags" w:element="PersonName">
        <w:smartTagPr>
          <w:attr w:name="ProductID" w:val="la Ley"/>
        </w:smartTagPr>
        <w:r w:rsidRPr="002836A4">
          <w:rPr>
            <w:rFonts w:ascii="Verdana" w:hAnsi="Verdana"/>
            <w:sz w:val="22"/>
            <w:szCs w:val="22"/>
          </w:rPr>
          <w:t>la Ley</w:t>
        </w:r>
      </w:smartTag>
      <w:r w:rsidRPr="002836A4">
        <w:rPr>
          <w:rFonts w:ascii="Verdana" w:hAnsi="Verdana"/>
          <w:sz w:val="22"/>
          <w:szCs w:val="22"/>
        </w:rPr>
        <w:t xml:space="preserve"> de Cantabria 10/2006, de 17 de julio, de Subvenciones de Cantabria. </w:t>
      </w:r>
    </w:p>
    <w:p w:rsidR="0089214B" w:rsidRDefault="0089214B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  <w:highlight w:val="yellow"/>
        </w:rPr>
      </w:pP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Artículo 1</w:t>
      </w:r>
      <w:r w:rsidR="00A136AC">
        <w:rPr>
          <w:rFonts w:ascii="Verdana" w:hAnsi="Verdana"/>
          <w:b/>
          <w:sz w:val="22"/>
          <w:szCs w:val="22"/>
        </w:rPr>
        <w:t>2</w:t>
      </w:r>
      <w:r w:rsidRPr="00104DE5">
        <w:rPr>
          <w:rFonts w:ascii="Verdana" w:hAnsi="Verdana"/>
          <w:b/>
          <w:sz w:val="22"/>
          <w:szCs w:val="22"/>
        </w:rPr>
        <w:t xml:space="preserve">.- Notificación y publicación. </w:t>
      </w:r>
    </w:p>
    <w:p w:rsidR="00CD7A9E" w:rsidRPr="002836A4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2836A4">
        <w:rPr>
          <w:rFonts w:ascii="Verdana" w:hAnsi="Verdana"/>
          <w:sz w:val="22"/>
          <w:szCs w:val="22"/>
        </w:rPr>
        <w:t>La resolución será motivada, se notificará a las personas que resulten adjudicatarias de las becas, se publicará en el tablón de anuncios del ICANE (Hernán Cortes 9, 1ª planta de Santander), así como en su página web (</w:t>
      </w:r>
      <w:hyperlink r:id="rId12" w:history="1">
        <w:r w:rsidR="00CE5372" w:rsidRPr="008772A6">
          <w:rPr>
            <w:rStyle w:val="Hipervnculo"/>
            <w:rFonts w:ascii="Verdana" w:hAnsi="Verdana"/>
            <w:sz w:val="22"/>
            <w:szCs w:val="22"/>
          </w:rPr>
          <w:t>https://www.icane.es</w:t>
        </w:r>
      </w:hyperlink>
      <w:r w:rsidRPr="002836A4">
        <w:rPr>
          <w:rFonts w:ascii="Verdana" w:hAnsi="Verdana"/>
          <w:sz w:val="22"/>
          <w:szCs w:val="22"/>
        </w:rPr>
        <w:t xml:space="preserve">). El plazo máximo para resolver y notificar será de </w:t>
      </w:r>
      <w:r w:rsidRPr="006A4DA1">
        <w:rPr>
          <w:rFonts w:ascii="Verdana" w:hAnsi="Verdana"/>
          <w:sz w:val="22"/>
          <w:szCs w:val="22"/>
        </w:rPr>
        <w:t>tres meses, a contar desde la finalización del plazo de presentación de solicitudes</w:t>
      </w:r>
      <w:r w:rsidRPr="002836A4">
        <w:rPr>
          <w:rFonts w:ascii="Verdana" w:hAnsi="Verdana"/>
          <w:sz w:val="22"/>
          <w:szCs w:val="22"/>
        </w:rPr>
        <w:t>, transcurridos los cuales sin que haya recaído resolución expresa las personas que hayan formulado solicitud podrán entender desestimada la misma.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</w:pPr>
    </w:p>
    <w:p w:rsidR="00CD7A9E" w:rsidRPr="00104DE5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104DE5">
        <w:rPr>
          <w:rFonts w:ascii="Verdana" w:hAnsi="Verdana"/>
          <w:b/>
          <w:sz w:val="22"/>
          <w:szCs w:val="22"/>
        </w:rPr>
        <w:t xml:space="preserve">Artículo </w:t>
      </w:r>
      <w:r>
        <w:rPr>
          <w:rFonts w:ascii="Verdana" w:hAnsi="Verdana"/>
          <w:b/>
          <w:sz w:val="22"/>
          <w:szCs w:val="22"/>
        </w:rPr>
        <w:t>1</w:t>
      </w:r>
      <w:r w:rsidR="00A136AC">
        <w:rPr>
          <w:rFonts w:ascii="Verdana" w:hAnsi="Verdana"/>
          <w:b/>
          <w:sz w:val="22"/>
          <w:szCs w:val="22"/>
        </w:rPr>
        <w:t>3</w:t>
      </w:r>
      <w:r w:rsidRPr="00104DE5">
        <w:rPr>
          <w:rFonts w:ascii="Verdana" w:hAnsi="Verdana"/>
          <w:b/>
          <w:sz w:val="22"/>
          <w:szCs w:val="22"/>
        </w:rPr>
        <w:t>.-</w:t>
      </w:r>
      <w:r w:rsidRPr="00104DE5">
        <w:rPr>
          <w:rFonts w:ascii="Verdana" w:hAnsi="Verdana"/>
          <w:sz w:val="22"/>
          <w:szCs w:val="22"/>
        </w:rPr>
        <w:t xml:space="preserve"> </w:t>
      </w:r>
      <w:r w:rsidRPr="00104DE5">
        <w:rPr>
          <w:rFonts w:ascii="Verdana" w:hAnsi="Verdana"/>
          <w:b/>
          <w:sz w:val="22"/>
          <w:szCs w:val="22"/>
        </w:rPr>
        <w:t>Fin de la vía administrativa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La resolución no agota la vía administrativa, siendo susceptible de recurso de alzada ante el Consejero de Economía, Hacienda y Empleo en el plazo de un mes a contar desde el día siguiente a </w:t>
      </w:r>
      <w:smartTag w:uri="urn:schemas-microsoft-com:office:smarttags" w:element="PersonName">
        <w:smartTagPr>
          <w:attr w:name="ProductID" w:val="la notificaci￳n. La"/>
        </w:smartTagPr>
        <w:r>
          <w:rPr>
            <w:rFonts w:ascii="Verdana" w:hAnsi="Verdana"/>
            <w:sz w:val="22"/>
            <w:szCs w:val="22"/>
          </w:rPr>
          <w:t xml:space="preserve">la notificación. </w:t>
        </w:r>
        <w:r w:rsidRPr="00104DE5">
          <w:rPr>
            <w:rFonts w:ascii="Verdana" w:hAnsi="Verdana"/>
            <w:sz w:val="22"/>
            <w:szCs w:val="22"/>
          </w:rPr>
          <w:t>La</w:t>
        </w:r>
      </w:smartTag>
      <w:r w:rsidRPr="00104DE5">
        <w:rPr>
          <w:rFonts w:ascii="Verdana" w:hAnsi="Verdana"/>
          <w:sz w:val="22"/>
          <w:szCs w:val="22"/>
        </w:rPr>
        <w:t xml:space="preserve"> resolución del recurso agotará la vía administrativa frente a la cual sólo cabrá interponer recurso contencioso administrativo.</w:t>
      </w:r>
    </w:p>
    <w:p w:rsidR="00CD7A9E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b/>
          <w:sz w:val="22"/>
          <w:szCs w:val="22"/>
          <w:highlight w:val="yellow"/>
        </w:rPr>
      </w:pPr>
    </w:p>
    <w:p w:rsidR="00CD7A9E" w:rsidRPr="00BD27AA" w:rsidRDefault="00A136AC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Artículo 14</w:t>
      </w:r>
      <w:r w:rsidR="00CD7A9E" w:rsidRPr="00BD27AA">
        <w:rPr>
          <w:rFonts w:ascii="Verdana" w:hAnsi="Verdana"/>
          <w:b/>
          <w:sz w:val="22"/>
          <w:szCs w:val="22"/>
        </w:rPr>
        <w:t>.-</w:t>
      </w:r>
      <w:r w:rsidR="00CD7A9E" w:rsidRPr="00BD27AA">
        <w:rPr>
          <w:rFonts w:ascii="Verdana" w:hAnsi="Verdana"/>
          <w:sz w:val="22"/>
          <w:szCs w:val="22"/>
        </w:rPr>
        <w:t xml:space="preserve"> </w:t>
      </w:r>
      <w:r w:rsidR="00CD7A9E" w:rsidRPr="00BD27AA">
        <w:rPr>
          <w:rFonts w:ascii="Verdana" w:hAnsi="Verdana"/>
          <w:b/>
          <w:sz w:val="22"/>
          <w:szCs w:val="22"/>
        </w:rPr>
        <w:t>Régimen Jurídico.</w:t>
      </w:r>
    </w:p>
    <w:p w:rsidR="00CD7A9E" w:rsidRPr="00BD27AA" w:rsidRDefault="00CD7A9E" w:rsidP="00CD7A9E">
      <w:pPr>
        <w:pStyle w:val="NormalWeb"/>
        <w:spacing w:before="0" w:beforeAutospacing="0" w:after="0" w:afterAutospacing="0" w:line="260" w:lineRule="exact"/>
        <w:jc w:val="both"/>
        <w:rPr>
          <w:rFonts w:ascii="Verdana" w:hAnsi="Verdana"/>
          <w:sz w:val="22"/>
          <w:szCs w:val="22"/>
        </w:rPr>
      </w:pPr>
      <w:r w:rsidRPr="00BD27AA">
        <w:rPr>
          <w:rFonts w:ascii="Verdana" w:hAnsi="Verdana"/>
          <w:sz w:val="22"/>
          <w:szCs w:val="22"/>
        </w:rPr>
        <w:t>En todo lo no previsto en la presente Orden regirá lo dispuesto en la Ley de Cantabria 10/2006, de 17 de julio, de Subvenciones de Cantabria, sin perjuicio de aplicación supletoria de la normativa estatal reguladora de la materia.</w:t>
      </w:r>
    </w:p>
    <w:p w:rsidR="00CD7A9E" w:rsidRDefault="00CD7A9E" w:rsidP="00CF5A33">
      <w:pPr>
        <w:ind w:right="-852"/>
        <w:jc w:val="both"/>
        <w:rPr>
          <w:rFonts w:ascii="Verdana" w:hAnsi="Verdana"/>
          <w:sz w:val="22"/>
          <w:szCs w:val="22"/>
        </w:rPr>
      </w:pPr>
    </w:p>
    <w:p w:rsidR="00CD7A9E" w:rsidRPr="00BD27AA" w:rsidRDefault="00CD7A9E" w:rsidP="00CD7A9E">
      <w:pPr>
        <w:ind w:right="-852" w:firstLine="247"/>
        <w:jc w:val="both"/>
        <w:rPr>
          <w:rFonts w:ascii="Verdana" w:hAnsi="Verdana"/>
          <w:sz w:val="22"/>
          <w:szCs w:val="22"/>
        </w:rPr>
      </w:pPr>
    </w:p>
    <w:p w:rsidR="00CD7A9E" w:rsidRPr="00BD27AA" w:rsidRDefault="00C7139F" w:rsidP="00CD7A9E">
      <w:pPr>
        <w:spacing w:line="260" w:lineRule="exact"/>
        <w:ind w:right="-852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Santander, </w:t>
      </w:r>
      <w:r w:rsidR="00243B2E">
        <w:rPr>
          <w:rFonts w:ascii="Verdana" w:hAnsi="Verdana"/>
          <w:sz w:val="22"/>
          <w:szCs w:val="22"/>
        </w:rPr>
        <w:t>26</w:t>
      </w:r>
      <w:r w:rsidR="00CD7A9E" w:rsidRPr="00BD27AA">
        <w:rPr>
          <w:rFonts w:ascii="Verdana" w:hAnsi="Verdana"/>
          <w:sz w:val="22"/>
          <w:szCs w:val="22"/>
        </w:rPr>
        <w:t xml:space="preserve"> de </w:t>
      </w:r>
      <w:r w:rsidR="00243B2E">
        <w:rPr>
          <w:rFonts w:ascii="Verdana" w:hAnsi="Verdana"/>
          <w:sz w:val="22"/>
          <w:szCs w:val="22"/>
        </w:rPr>
        <w:t>septiembre</w:t>
      </w:r>
      <w:bookmarkStart w:id="2" w:name="_GoBack"/>
      <w:bookmarkEnd w:id="2"/>
      <w:r>
        <w:rPr>
          <w:rFonts w:ascii="Verdana" w:hAnsi="Verdana"/>
          <w:sz w:val="22"/>
          <w:szCs w:val="22"/>
        </w:rPr>
        <w:t xml:space="preserve"> </w:t>
      </w:r>
      <w:r w:rsidR="00CD7A9E" w:rsidRPr="00BD27AA">
        <w:rPr>
          <w:rFonts w:ascii="Verdana" w:hAnsi="Verdana"/>
          <w:sz w:val="22"/>
          <w:szCs w:val="22"/>
        </w:rPr>
        <w:t>de 201</w:t>
      </w:r>
      <w:r w:rsidR="00E72A3F">
        <w:rPr>
          <w:rFonts w:ascii="Verdana" w:hAnsi="Verdana"/>
          <w:sz w:val="22"/>
          <w:szCs w:val="22"/>
        </w:rPr>
        <w:t>9</w:t>
      </w:r>
      <w:r w:rsidR="00CD7A9E" w:rsidRPr="00BD27AA">
        <w:rPr>
          <w:rFonts w:ascii="Verdana" w:hAnsi="Verdana"/>
          <w:sz w:val="22"/>
          <w:szCs w:val="22"/>
        </w:rPr>
        <w:t>.</w:t>
      </w:r>
    </w:p>
    <w:p w:rsidR="00CD7A9E" w:rsidRPr="00BD27AA" w:rsidRDefault="005575B9" w:rsidP="00CD7A9E">
      <w:pPr>
        <w:spacing w:line="260" w:lineRule="exact"/>
        <w:ind w:right="-852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La Consejera</w:t>
      </w:r>
      <w:r w:rsidR="00CD7A9E" w:rsidRPr="00BD27AA">
        <w:rPr>
          <w:rFonts w:ascii="Verdana" w:hAnsi="Verdana"/>
          <w:sz w:val="22"/>
          <w:szCs w:val="22"/>
        </w:rPr>
        <w:t xml:space="preserve"> de Economía</w:t>
      </w:r>
      <w:r>
        <w:rPr>
          <w:rFonts w:ascii="Verdana" w:hAnsi="Verdana"/>
          <w:sz w:val="22"/>
          <w:szCs w:val="22"/>
        </w:rPr>
        <w:t xml:space="preserve"> y Hacienda</w:t>
      </w:r>
      <w:r w:rsidR="00CD7A9E" w:rsidRPr="00BD27AA">
        <w:rPr>
          <w:rFonts w:ascii="Verdana" w:hAnsi="Verdana"/>
          <w:sz w:val="22"/>
          <w:szCs w:val="22"/>
        </w:rPr>
        <w:t>,</w:t>
      </w:r>
    </w:p>
    <w:p w:rsidR="00CD7A9E" w:rsidRPr="00554DE6" w:rsidRDefault="00CD7A9E" w:rsidP="00CD7A9E">
      <w:pPr>
        <w:spacing w:line="260" w:lineRule="exact"/>
        <w:ind w:right="-852"/>
        <w:jc w:val="center"/>
        <w:rPr>
          <w:rFonts w:ascii="Verdana" w:hAnsi="Verdana"/>
          <w:sz w:val="22"/>
          <w:szCs w:val="22"/>
          <w:highlight w:val="yellow"/>
        </w:rPr>
      </w:pPr>
    </w:p>
    <w:p w:rsidR="00CD7A9E" w:rsidRPr="00554DE6" w:rsidRDefault="00CD7A9E" w:rsidP="00CD7A9E">
      <w:pPr>
        <w:spacing w:line="260" w:lineRule="exact"/>
        <w:ind w:right="-852"/>
        <w:jc w:val="center"/>
        <w:rPr>
          <w:rFonts w:ascii="Verdana" w:hAnsi="Verdana"/>
          <w:sz w:val="22"/>
          <w:szCs w:val="22"/>
          <w:highlight w:val="yellow"/>
        </w:rPr>
      </w:pPr>
    </w:p>
    <w:p w:rsidR="00185D70" w:rsidRPr="007763BA" w:rsidRDefault="00CD7A9E" w:rsidP="006A4DA1">
      <w:pPr>
        <w:spacing w:line="260" w:lineRule="exact"/>
        <w:ind w:right="-852"/>
        <w:jc w:val="center"/>
        <w:rPr>
          <w:rFonts w:ascii="Verdana" w:hAnsi="Verdana"/>
          <w:b/>
          <w:sz w:val="22"/>
          <w:szCs w:val="22"/>
          <w:lang w:val="es-ES_tradnl"/>
        </w:rPr>
      </w:pPr>
      <w:r w:rsidRPr="00BD27AA">
        <w:rPr>
          <w:rFonts w:ascii="Verdana" w:hAnsi="Verdana"/>
          <w:sz w:val="22"/>
          <w:szCs w:val="22"/>
        </w:rPr>
        <w:t xml:space="preserve">Fdo.: </w:t>
      </w:r>
      <w:r w:rsidR="005575B9">
        <w:rPr>
          <w:rFonts w:ascii="Verdana" w:hAnsi="Verdana"/>
          <w:sz w:val="22"/>
          <w:szCs w:val="22"/>
        </w:rPr>
        <w:t>María Sánchez Ruiz</w:t>
      </w:r>
    </w:p>
    <w:sectPr w:rsidR="00185D70" w:rsidRPr="007763BA">
      <w:footerReference w:type="even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204" w:rsidRDefault="007B6204">
      <w:r>
        <w:separator/>
      </w:r>
    </w:p>
  </w:endnote>
  <w:endnote w:type="continuationSeparator" w:id="0">
    <w:p w:rsidR="007B6204" w:rsidRDefault="007B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57C" w:rsidRDefault="0011557C" w:rsidP="00B8094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1557C" w:rsidRDefault="0011557C" w:rsidP="0011557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57C" w:rsidRDefault="0011557C" w:rsidP="00B8094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43B2E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11557C" w:rsidRDefault="0011557C" w:rsidP="0011557C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204" w:rsidRDefault="007B6204">
      <w:r>
        <w:separator/>
      </w:r>
    </w:p>
  </w:footnote>
  <w:footnote w:type="continuationSeparator" w:id="0">
    <w:p w:rsidR="007B6204" w:rsidRDefault="007B6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214"/>
    <w:multiLevelType w:val="hybridMultilevel"/>
    <w:tmpl w:val="7DE67B60"/>
    <w:lvl w:ilvl="0" w:tplc="13C60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Gloucester MT Extra Condensed" w:hAnsi="Century Gothic" w:cs="Times-Bold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60E18"/>
    <w:multiLevelType w:val="hybridMultilevel"/>
    <w:tmpl w:val="E1E6D64E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C5321F"/>
    <w:multiLevelType w:val="multilevel"/>
    <w:tmpl w:val="EA88FFB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31A1F"/>
    <w:multiLevelType w:val="hybridMultilevel"/>
    <w:tmpl w:val="A3765494"/>
    <w:lvl w:ilvl="0" w:tplc="1BFE61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A4E6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Arial" w:hint="default"/>
      </w:rPr>
    </w:lvl>
    <w:lvl w:ilvl="2" w:tplc="0C0A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2D5CEA"/>
    <w:multiLevelType w:val="hybridMultilevel"/>
    <w:tmpl w:val="EA88FFBC"/>
    <w:lvl w:ilvl="0" w:tplc="1BFE615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0806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2C89B5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357A74"/>
    <w:multiLevelType w:val="hybridMultilevel"/>
    <w:tmpl w:val="2DF207B6"/>
    <w:lvl w:ilvl="0" w:tplc="3E0806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F47A3"/>
    <w:multiLevelType w:val="hybridMultilevel"/>
    <w:tmpl w:val="9850B66E"/>
    <w:lvl w:ilvl="0" w:tplc="D2629264">
      <w:start w:val="1"/>
      <w:numFmt w:val="none"/>
      <w:lvlText w:val="C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A4E6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307168"/>
    <w:multiLevelType w:val="hybridMultilevel"/>
    <w:tmpl w:val="EFE0199C"/>
    <w:lvl w:ilvl="0" w:tplc="3E0806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D0172A"/>
    <w:multiLevelType w:val="hybridMultilevel"/>
    <w:tmpl w:val="B23421DA"/>
    <w:lvl w:ilvl="0" w:tplc="13C60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Gloucester MT Extra Condensed" w:hAnsi="Century Gothic" w:cs="Times-Bold" w:hint="default"/>
      </w:rPr>
    </w:lvl>
    <w:lvl w:ilvl="1" w:tplc="12EEA3B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430C6D"/>
    <w:multiLevelType w:val="hybridMultilevel"/>
    <w:tmpl w:val="B5424CD2"/>
    <w:lvl w:ilvl="0" w:tplc="13C60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Gloucester MT Extra Condensed" w:hAnsi="Century Gothic" w:cs="Times-Bold" w:hint="default"/>
      </w:rPr>
    </w:lvl>
    <w:lvl w:ilvl="1" w:tplc="70A4E6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522C2C"/>
    <w:multiLevelType w:val="multilevel"/>
    <w:tmpl w:val="EA88FFB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806E31"/>
    <w:multiLevelType w:val="hybridMultilevel"/>
    <w:tmpl w:val="4AE836D4"/>
    <w:lvl w:ilvl="0" w:tplc="E86AB6A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" w:eastAsia="Courier" w:hAnsi="Courier" w:cs="Courier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2D2F0A"/>
    <w:multiLevelType w:val="hybridMultilevel"/>
    <w:tmpl w:val="B380DF8A"/>
    <w:lvl w:ilvl="0" w:tplc="C9BCE89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4F4BC9"/>
    <w:multiLevelType w:val="hybridMultilevel"/>
    <w:tmpl w:val="22FEAB52"/>
    <w:lvl w:ilvl="0" w:tplc="3E0806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E72A5A"/>
    <w:multiLevelType w:val="hybridMultilevel"/>
    <w:tmpl w:val="D56AD8BA"/>
    <w:lvl w:ilvl="0" w:tplc="FB126A4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8E577E"/>
    <w:multiLevelType w:val="multilevel"/>
    <w:tmpl w:val="67FCAF36"/>
    <w:lvl w:ilvl="0">
      <w:start w:val="1"/>
      <w:numFmt w:val="none"/>
      <w:lvlText w:val="B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F5136C"/>
    <w:multiLevelType w:val="hybridMultilevel"/>
    <w:tmpl w:val="9544D3A8"/>
    <w:lvl w:ilvl="0" w:tplc="13C6001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entury Gothic" w:eastAsia="Gloucester MT Extra Condensed" w:hAnsi="Century Gothic" w:cs="Times-Bold" w:hint="default"/>
      </w:rPr>
    </w:lvl>
    <w:lvl w:ilvl="1" w:tplc="70A4E68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Century Gothic" w:eastAsia="Times New Roman" w:hAnsi="Century Gothic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6FC64B6B"/>
    <w:multiLevelType w:val="hybridMultilevel"/>
    <w:tmpl w:val="0CE8951E"/>
    <w:lvl w:ilvl="0" w:tplc="3E0806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442A21"/>
    <w:multiLevelType w:val="hybridMultilevel"/>
    <w:tmpl w:val="BED46848"/>
    <w:lvl w:ilvl="0" w:tplc="CCB4C50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5353A"/>
    <w:multiLevelType w:val="multilevel"/>
    <w:tmpl w:val="E44E3A0C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17"/>
  </w:num>
  <w:num w:numId="6">
    <w:abstractNumId w:val="13"/>
  </w:num>
  <w:num w:numId="7">
    <w:abstractNumId w:val="5"/>
  </w:num>
  <w:num w:numId="8">
    <w:abstractNumId w:val="7"/>
  </w:num>
  <w:num w:numId="9">
    <w:abstractNumId w:val="11"/>
  </w:num>
  <w:num w:numId="10">
    <w:abstractNumId w:val="14"/>
  </w:num>
  <w:num w:numId="11">
    <w:abstractNumId w:val="10"/>
  </w:num>
  <w:num w:numId="12">
    <w:abstractNumId w:val="12"/>
  </w:num>
  <w:num w:numId="13">
    <w:abstractNumId w:val="19"/>
  </w:num>
  <w:num w:numId="14">
    <w:abstractNumId w:val="15"/>
  </w:num>
  <w:num w:numId="15">
    <w:abstractNumId w:val="2"/>
  </w:num>
  <w:num w:numId="16">
    <w:abstractNumId w:val="0"/>
  </w:num>
  <w:num w:numId="17">
    <w:abstractNumId w:val="16"/>
  </w:num>
  <w:num w:numId="18">
    <w:abstractNumId w:val="9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4A7"/>
    <w:rsid w:val="00000534"/>
    <w:rsid w:val="000010AD"/>
    <w:rsid w:val="00042444"/>
    <w:rsid w:val="000C6B55"/>
    <w:rsid w:val="000E6549"/>
    <w:rsid w:val="001011F6"/>
    <w:rsid w:val="00110A59"/>
    <w:rsid w:val="0011557C"/>
    <w:rsid w:val="001217F4"/>
    <w:rsid w:val="00133D39"/>
    <w:rsid w:val="00140F90"/>
    <w:rsid w:val="00146938"/>
    <w:rsid w:val="00180468"/>
    <w:rsid w:val="00185411"/>
    <w:rsid w:val="00185D70"/>
    <w:rsid w:val="001E0083"/>
    <w:rsid w:val="001E1775"/>
    <w:rsid w:val="001F2E28"/>
    <w:rsid w:val="00200B3D"/>
    <w:rsid w:val="002133E0"/>
    <w:rsid w:val="00243B2E"/>
    <w:rsid w:val="002811BF"/>
    <w:rsid w:val="00285328"/>
    <w:rsid w:val="00285EC2"/>
    <w:rsid w:val="002A1FB2"/>
    <w:rsid w:val="002A46D3"/>
    <w:rsid w:val="002C1D45"/>
    <w:rsid w:val="002E3D39"/>
    <w:rsid w:val="00304BA5"/>
    <w:rsid w:val="00331BC8"/>
    <w:rsid w:val="003641B5"/>
    <w:rsid w:val="003F30F4"/>
    <w:rsid w:val="00404526"/>
    <w:rsid w:val="00415A60"/>
    <w:rsid w:val="00462978"/>
    <w:rsid w:val="004711A8"/>
    <w:rsid w:val="00496E92"/>
    <w:rsid w:val="004E2A5D"/>
    <w:rsid w:val="00513297"/>
    <w:rsid w:val="0052436C"/>
    <w:rsid w:val="00546148"/>
    <w:rsid w:val="00554DE6"/>
    <w:rsid w:val="005575B9"/>
    <w:rsid w:val="005957C3"/>
    <w:rsid w:val="005A5307"/>
    <w:rsid w:val="005C5EAC"/>
    <w:rsid w:val="00625947"/>
    <w:rsid w:val="00627993"/>
    <w:rsid w:val="00670CA1"/>
    <w:rsid w:val="006A4DA1"/>
    <w:rsid w:val="006D39B6"/>
    <w:rsid w:val="00706507"/>
    <w:rsid w:val="007366BA"/>
    <w:rsid w:val="007564E4"/>
    <w:rsid w:val="007763BA"/>
    <w:rsid w:val="007A0DE7"/>
    <w:rsid w:val="007B6204"/>
    <w:rsid w:val="007F373C"/>
    <w:rsid w:val="008077AD"/>
    <w:rsid w:val="00817081"/>
    <w:rsid w:val="00830B5C"/>
    <w:rsid w:val="00856258"/>
    <w:rsid w:val="008671C0"/>
    <w:rsid w:val="00882133"/>
    <w:rsid w:val="0089214B"/>
    <w:rsid w:val="008921F4"/>
    <w:rsid w:val="008C0A7C"/>
    <w:rsid w:val="00902A65"/>
    <w:rsid w:val="00912C99"/>
    <w:rsid w:val="00920389"/>
    <w:rsid w:val="00942800"/>
    <w:rsid w:val="009C4C3F"/>
    <w:rsid w:val="009E7778"/>
    <w:rsid w:val="00A136AC"/>
    <w:rsid w:val="00A714FA"/>
    <w:rsid w:val="00A9268F"/>
    <w:rsid w:val="00AA3483"/>
    <w:rsid w:val="00AB34AE"/>
    <w:rsid w:val="00AD2BE6"/>
    <w:rsid w:val="00AE6329"/>
    <w:rsid w:val="00AF0FD3"/>
    <w:rsid w:val="00B80942"/>
    <w:rsid w:val="00B91DD4"/>
    <w:rsid w:val="00C00642"/>
    <w:rsid w:val="00C0725D"/>
    <w:rsid w:val="00C21861"/>
    <w:rsid w:val="00C31F76"/>
    <w:rsid w:val="00C7139F"/>
    <w:rsid w:val="00C9323F"/>
    <w:rsid w:val="00CA5EB6"/>
    <w:rsid w:val="00CD7A9E"/>
    <w:rsid w:val="00CE5372"/>
    <w:rsid w:val="00CF5A33"/>
    <w:rsid w:val="00D31062"/>
    <w:rsid w:val="00D50372"/>
    <w:rsid w:val="00D66C49"/>
    <w:rsid w:val="00DC60B4"/>
    <w:rsid w:val="00E2687B"/>
    <w:rsid w:val="00E4530A"/>
    <w:rsid w:val="00E72A3F"/>
    <w:rsid w:val="00E72D29"/>
    <w:rsid w:val="00E7691B"/>
    <w:rsid w:val="00E94DAE"/>
    <w:rsid w:val="00E954A7"/>
    <w:rsid w:val="00EB0A25"/>
    <w:rsid w:val="00EB0D42"/>
    <w:rsid w:val="00EC787B"/>
    <w:rsid w:val="00F35923"/>
    <w:rsid w:val="00F50F8A"/>
    <w:rsid w:val="00F56573"/>
    <w:rsid w:val="00F8623A"/>
    <w:rsid w:val="00F96945"/>
    <w:rsid w:val="00FC44E7"/>
    <w:rsid w:val="00FD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D734D35"/>
  <w15:chartTrackingRefBased/>
  <w15:docId w15:val="{5F102208-9381-4391-9DD1-E962DE6E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D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185D70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link w:val="NormalWebCar"/>
    <w:rsid w:val="00185D70"/>
    <w:pPr>
      <w:spacing w:before="100" w:beforeAutospacing="1" w:after="100" w:afterAutospacing="1"/>
    </w:pPr>
    <w:rPr>
      <w:sz w:val="24"/>
      <w:szCs w:val="24"/>
    </w:rPr>
  </w:style>
  <w:style w:type="character" w:customStyle="1" w:styleId="NormalWebCar">
    <w:name w:val="Normal (Web) Car"/>
    <w:link w:val="NormalWeb"/>
    <w:locked/>
    <w:rsid w:val="00185D70"/>
    <w:rPr>
      <w:sz w:val="24"/>
      <w:szCs w:val="24"/>
      <w:lang w:val="es-ES" w:eastAsia="es-ES" w:bidi="ar-SA"/>
    </w:rPr>
  </w:style>
  <w:style w:type="character" w:styleId="Nmerodepgina">
    <w:name w:val="page number"/>
    <w:basedOn w:val="Fuentedeprrafopredeter"/>
    <w:rsid w:val="0011557C"/>
  </w:style>
  <w:style w:type="paragraph" w:styleId="Textodeglobo">
    <w:name w:val="Balloon Text"/>
    <w:basedOn w:val="Normal"/>
    <w:link w:val="TextodegloboCar"/>
    <w:rsid w:val="000C6B5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0C6B55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rsid w:val="00EB0A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cane.e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cane.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55E33-DF23-408A-807A-F2EFED61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2620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GOBIERNO</vt:lpstr>
    </vt:vector>
  </TitlesOfParts>
  <Company>Gobierno de Cantabria</Company>
  <LinksUpToDate>false</LinksUpToDate>
  <CharactersWithSpaces>16388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GOBIERNO</dc:title>
  <dc:subject/>
  <dc:creator>ncl12098</dc:creator>
  <cp:keywords/>
  <dc:description/>
  <cp:lastModifiedBy>Rozas García Julio Alberto</cp:lastModifiedBy>
  <cp:revision>17</cp:revision>
  <cp:lastPrinted>2018-06-12T07:26:00Z</cp:lastPrinted>
  <dcterms:created xsi:type="dcterms:W3CDTF">2018-09-21T07:42:00Z</dcterms:created>
  <dcterms:modified xsi:type="dcterms:W3CDTF">2019-10-08T09:30:00Z</dcterms:modified>
</cp:coreProperties>
</file>