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05F8" w:rsidRPr="00E50C75" w:rsidRDefault="00F805F8" w:rsidP="00F805F8">
      <w:pPr>
        <w:pStyle w:val="Textoindependiente"/>
        <w:jc w:val="center"/>
        <w:rPr>
          <w:b/>
          <w:sz w:val="22"/>
          <w:szCs w:val="22"/>
          <w:u w:val="single"/>
        </w:rPr>
      </w:pPr>
      <w:bookmarkStart w:id="0" w:name="_GoBack"/>
      <w:bookmarkEnd w:id="0"/>
      <w:r>
        <w:rPr>
          <w:b/>
          <w:sz w:val="22"/>
          <w:szCs w:val="22"/>
          <w:u w:val="single"/>
        </w:rPr>
        <w:t>INFORME ANUAL SOBRE LAS ACTIVIDADES DE CONTROL EFECTUADAS EN EJECUCIÓN</w:t>
      </w:r>
      <w:r w:rsidRPr="00E50C75">
        <w:rPr>
          <w:b/>
          <w:sz w:val="22"/>
          <w:szCs w:val="22"/>
          <w:u w:val="single"/>
        </w:rPr>
        <w:t xml:space="preserve"> DEL PROGRAMA DE CONTROL OFICIAL DE ALIMENTACIÓN ANIMAL Y DEL PROGRAMA DE CONTROL DE SUBPRODUCTOS DE ORIGEN ANIMAL NO DESTINADOS AL CONSUMO HUMANO PROCEDENTES DE MATERIAL DE CATEGORÍA 3, EN EL AMBITO DE </w:t>
      </w:r>
      <w:smartTag w:uri="urn:schemas-microsoft-com:office:smarttags" w:element="PersonName">
        <w:smartTagPr>
          <w:attr w:name="ProductID" w:val="LA COMUNIDAD AUTￓNOMA"/>
        </w:smartTagPr>
        <w:r w:rsidRPr="00E50C75">
          <w:rPr>
            <w:b/>
            <w:sz w:val="22"/>
            <w:szCs w:val="22"/>
            <w:u w:val="single"/>
          </w:rPr>
          <w:t>LA COMUNIDAD AUTÓNOMA</w:t>
        </w:r>
      </w:smartTag>
      <w:r w:rsidRPr="00E50C75">
        <w:rPr>
          <w:b/>
          <w:sz w:val="22"/>
          <w:szCs w:val="22"/>
          <w:u w:val="single"/>
        </w:rPr>
        <w:t xml:space="preserve"> DE CANTABRIA, CORRESPONDIENTES AL EJERCICIO 20</w:t>
      </w:r>
      <w:r>
        <w:rPr>
          <w:b/>
          <w:sz w:val="22"/>
          <w:szCs w:val="22"/>
          <w:u w:val="single"/>
        </w:rPr>
        <w:t>18</w:t>
      </w:r>
    </w:p>
    <w:p w:rsidR="00F805F8" w:rsidRDefault="00F805F8" w:rsidP="00F805F8">
      <w:pPr>
        <w:pStyle w:val="Textoindependiente3"/>
      </w:pPr>
      <w:r w:rsidRPr="00E50C75">
        <w:rPr>
          <w:sz w:val="22"/>
          <w:szCs w:val="22"/>
        </w:rPr>
        <w:t xml:space="preserve">                                                                        </w:t>
      </w:r>
    </w:p>
    <w:p w:rsidR="00F805F8" w:rsidRPr="00E50C75" w:rsidRDefault="00F805F8" w:rsidP="00F805F8">
      <w:pPr>
        <w:pStyle w:val="Textoindependiente3"/>
        <w:jc w:val="center"/>
        <w:rPr>
          <w:sz w:val="22"/>
          <w:szCs w:val="22"/>
        </w:rPr>
      </w:pPr>
      <w:r w:rsidRPr="00610B9D">
        <w:rPr>
          <w:noProof/>
          <w:color w:val="0000FF"/>
          <w:lang w:eastAsia="es-ES"/>
        </w:rPr>
        <w:drawing>
          <wp:inline distT="0" distB="0" distL="0" distR="0">
            <wp:extent cx="5769610" cy="3363595"/>
            <wp:effectExtent l="0" t="0" r="2540" b="8255"/>
            <wp:docPr id="1" name="Imagen 1" descr="Resultado de imagen de fotos de explotaciones ganaderas">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sultado de imagen de fotos de explotaciones ganaderas">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9610" cy="3363595"/>
                    </a:xfrm>
                    <a:prstGeom prst="rect">
                      <a:avLst/>
                    </a:prstGeom>
                    <a:noFill/>
                    <a:ln>
                      <a:noFill/>
                    </a:ln>
                  </pic:spPr>
                </pic:pic>
              </a:graphicData>
            </a:graphic>
          </wp:inline>
        </w:drawing>
      </w:r>
      <w:hyperlink r:id="rId7" w:history="1"/>
    </w:p>
    <w:p w:rsidR="00F805F8" w:rsidRPr="00E50C75" w:rsidRDefault="00F805F8" w:rsidP="00F805F8">
      <w:pPr>
        <w:pStyle w:val="Textoindependiente3"/>
        <w:jc w:val="both"/>
        <w:rPr>
          <w:sz w:val="22"/>
          <w:szCs w:val="22"/>
        </w:rPr>
      </w:pPr>
      <w:r w:rsidRPr="00E50C75">
        <w:rPr>
          <w:sz w:val="22"/>
          <w:szCs w:val="22"/>
        </w:rPr>
        <w:t xml:space="preserve">          El artículo 7 del Reglamento 882/2004 del Parlamento Europeo y del Consejo, de 29 de abril de 2004, sobre los controles oficiales efectuados para garantizar la verificación del cumplimiento de la legislación en materia de piensos y alimentos y la normativa sobre salud animal y bienestar de los animales, regula la obligación de las autoridades competentes de velar por que sus actividades se desarrollen con un nivel elevado de transparencia, debiendo informar al público lo antes posible de la información pertinente que obre en su poder. </w:t>
      </w:r>
    </w:p>
    <w:p w:rsidR="00F805F8" w:rsidRPr="00E50C75" w:rsidRDefault="00F805F8" w:rsidP="00F805F8">
      <w:pPr>
        <w:pStyle w:val="Textoindependiente3"/>
        <w:jc w:val="both"/>
        <w:rPr>
          <w:sz w:val="22"/>
          <w:szCs w:val="22"/>
        </w:rPr>
      </w:pPr>
      <w:r w:rsidRPr="00E50C75">
        <w:rPr>
          <w:sz w:val="22"/>
          <w:szCs w:val="22"/>
        </w:rPr>
        <w:t xml:space="preserve">          En el caso del Programa de Control Oficial de </w:t>
      </w:r>
      <w:smartTag w:uri="urn:schemas-microsoft-com:office:smarttags" w:element="PersonName">
        <w:smartTagPr>
          <w:attr w:name="ProductID" w:val="la Alimentaci￳n Animal"/>
        </w:smartTagPr>
        <w:smartTag w:uri="urn:schemas-microsoft-com:office:smarttags" w:element="PersonName">
          <w:smartTagPr>
            <w:attr w:name="ProductID" w:val="la Alimentaci￳n"/>
          </w:smartTagPr>
          <w:r w:rsidRPr="00E50C75">
            <w:rPr>
              <w:sz w:val="22"/>
              <w:szCs w:val="22"/>
            </w:rPr>
            <w:t>la Alimentación</w:t>
          </w:r>
        </w:smartTag>
        <w:r w:rsidRPr="00E50C75">
          <w:rPr>
            <w:sz w:val="22"/>
            <w:szCs w:val="22"/>
          </w:rPr>
          <w:t xml:space="preserve"> Animal</w:t>
        </w:r>
      </w:smartTag>
      <w:r w:rsidRPr="00E50C75">
        <w:rPr>
          <w:sz w:val="22"/>
          <w:szCs w:val="22"/>
        </w:rPr>
        <w:t xml:space="preserve"> y del Programa de Control Oficial de Subproductos de origen Animal No Destinados al Consumo Humano (SANDACH) procedentes de material de categoría 3 para </w:t>
      </w:r>
      <w:r>
        <w:rPr>
          <w:sz w:val="22"/>
          <w:szCs w:val="22"/>
        </w:rPr>
        <w:t>el ejercicio 2018</w:t>
      </w:r>
      <w:r w:rsidRPr="00E50C75">
        <w:rPr>
          <w:sz w:val="22"/>
          <w:szCs w:val="22"/>
        </w:rPr>
        <w:t xml:space="preserve">, dicha información abarcaría las actividades de control de las autoridades competentes y su eficacia, así como las situaciones de riesgo para la salud de las personas o de los animales, dependiendo de la naturaleza, la gravedad y la envergadura del riesgo. En estas situaciones, sería necesaria la información al público del pienso afectado, el riesgo que puede presentar y las medidas que se adopten o vayan a adoptarse para prevenir, reducir o eliminar dicho riesgo. </w:t>
      </w:r>
    </w:p>
    <w:p w:rsidR="00F805F8" w:rsidRDefault="00F805F8" w:rsidP="00F805F8">
      <w:pPr>
        <w:pStyle w:val="Textoindependiente3"/>
        <w:jc w:val="both"/>
        <w:rPr>
          <w:sz w:val="22"/>
          <w:szCs w:val="22"/>
        </w:rPr>
      </w:pPr>
      <w:r w:rsidRPr="00E50C75">
        <w:rPr>
          <w:sz w:val="22"/>
          <w:szCs w:val="22"/>
        </w:rPr>
        <w:t xml:space="preserve">          En Cantabria hay, a fecha de hoy, </w:t>
      </w:r>
      <w:r>
        <w:rPr>
          <w:sz w:val="22"/>
          <w:szCs w:val="22"/>
        </w:rPr>
        <w:t>400</w:t>
      </w:r>
      <w:r w:rsidRPr="00277A53">
        <w:rPr>
          <w:sz w:val="22"/>
          <w:szCs w:val="22"/>
        </w:rPr>
        <w:t xml:space="preserve"> </w:t>
      </w:r>
      <w:r w:rsidRPr="00E50C75">
        <w:rPr>
          <w:sz w:val="22"/>
          <w:szCs w:val="22"/>
        </w:rPr>
        <w:t>operadores inscritos en el registro como explotadores de empresas de piensos no considerados en el ámbito de la producción primaria de piensos, obligados al cumplimiento del anexo II del Reglamento 183/2005, de hig</w:t>
      </w:r>
      <w:r>
        <w:rPr>
          <w:sz w:val="22"/>
          <w:szCs w:val="22"/>
        </w:rPr>
        <w:t>iene de los piensos. De ellos, 2</w:t>
      </w:r>
      <w:r w:rsidRPr="00E50C75">
        <w:rPr>
          <w:sz w:val="22"/>
          <w:szCs w:val="22"/>
        </w:rPr>
        <w:t xml:space="preserve"> establecimientos están igualmente incluidos en la lista de establecimientos, plantas y explotadores de SANDACH como fábricas de harinas de pescado </w:t>
      </w:r>
      <w:r>
        <w:rPr>
          <w:sz w:val="22"/>
          <w:szCs w:val="22"/>
        </w:rPr>
        <w:t>y</w:t>
      </w:r>
      <w:r w:rsidRPr="00E50C75">
        <w:rPr>
          <w:sz w:val="22"/>
          <w:szCs w:val="22"/>
        </w:rPr>
        <w:t xml:space="preserve"> almacenes de harinas de pescado, encontrándose </w:t>
      </w:r>
      <w:r w:rsidRPr="00E50C75">
        <w:rPr>
          <w:sz w:val="22"/>
          <w:szCs w:val="22"/>
        </w:rPr>
        <w:lastRenderedPageBreak/>
        <w:t xml:space="preserve">regulada dicha lista en el artículo 47 del Reglamento 1069/2009, de 21 de octubre. La información relativa a la razón social, dirección, tipo de actividad y número de autorización o registro de estos establecimientos se encuentra disponible al público en general en las siguientes páginas </w:t>
      </w:r>
      <w:r>
        <w:rPr>
          <w:sz w:val="22"/>
          <w:szCs w:val="22"/>
        </w:rPr>
        <w:t>w</w:t>
      </w:r>
      <w:r w:rsidRPr="00E50C75">
        <w:rPr>
          <w:sz w:val="22"/>
          <w:szCs w:val="22"/>
        </w:rPr>
        <w:t xml:space="preserve">eb del </w:t>
      </w:r>
      <w:r>
        <w:rPr>
          <w:sz w:val="22"/>
          <w:szCs w:val="22"/>
        </w:rPr>
        <w:t>Ministerio de Agricultura, Pesca y Alimentación (MAPA)</w:t>
      </w:r>
      <w:r w:rsidRPr="00E50C75">
        <w:rPr>
          <w:sz w:val="22"/>
          <w:szCs w:val="22"/>
        </w:rPr>
        <w:t xml:space="preserve">: </w:t>
      </w:r>
    </w:p>
    <w:p w:rsidR="00F805F8" w:rsidRDefault="00F805F8" w:rsidP="00F805F8">
      <w:pPr>
        <w:pStyle w:val="Textoindependiente3"/>
        <w:numPr>
          <w:ilvl w:val="0"/>
          <w:numId w:val="5"/>
        </w:numPr>
        <w:jc w:val="both"/>
        <w:rPr>
          <w:sz w:val="22"/>
          <w:szCs w:val="22"/>
        </w:rPr>
      </w:pPr>
      <w:r>
        <w:rPr>
          <w:sz w:val="22"/>
          <w:szCs w:val="22"/>
        </w:rPr>
        <w:t>Sistema informático “</w:t>
      </w:r>
      <w:r w:rsidRPr="00E50C75">
        <w:rPr>
          <w:sz w:val="22"/>
          <w:szCs w:val="22"/>
        </w:rPr>
        <w:t>SILUM</w:t>
      </w:r>
      <w:r>
        <w:rPr>
          <w:sz w:val="22"/>
          <w:szCs w:val="22"/>
        </w:rPr>
        <w:t>”</w:t>
      </w:r>
      <w:r w:rsidRPr="00E50C75">
        <w:rPr>
          <w:sz w:val="22"/>
          <w:szCs w:val="22"/>
        </w:rPr>
        <w:t xml:space="preserve"> para operadores del se</w:t>
      </w:r>
      <w:r>
        <w:rPr>
          <w:sz w:val="22"/>
          <w:szCs w:val="22"/>
        </w:rPr>
        <w:t>ctor de la alimentación animal:</w:t>
      </w:r>
    </w:p>
    <w:p w:rsidR="00F805F8" w:rsidRDefault="00F805F8" w:rsidP="00F805F8">
      <w:pPr>
        <w:pStyle w:val="Textoindependiente3"/>
        <w:ind w:left="709"/>
        <w:jc w:val="both"/>
        <w:rPr>
          <w:sz w:val="22"/>
          <w:szCs w:val="22"/>
        </w:rPr>
      </w:pPr>
      <w:r w:rsidRPr="00305C0A">
        <w:rPr>
          <w:sz w:val="22"/>
          <w:szCs w:val="22"/>
        </w:rPr>
        <w:t>http://www.mapama.gob.es/es/ganaderia/temas/alimentacion-animal/acceso-publico/registr</w:t>
      </w:r>
      <w:r>
        <w:rPr>
          <w:sz w:val="22"/>
          <w:szCs w:val="22"/>
        </w:rPr>
        <w:t>o_general_establecimientos.aspx</w:t>
      </w:r>
      <w:r w:rsidRPr="00E50C75">
        <w:rPr>
          <w:sz w:val="22"/>
          <w:szCs w:val="22"/>
        </w:rPr>
        <w:t xml:space="preserve"> </w:t>
      </w:r>
    </w:p>
    <w:p w:rsidR="00F805F8" w:rsidRDefault="00F805F8" w:rsidP="00F805F8">
      <w:pPr>
        <w:pStyle w:val="Textoindependiente3"/>
        <w:numPr>
          <w:ilvl w:val="0"/>
          <w:numId w:val="5"/>
        </w:numPr>
        <w:jc w:val="both"/>
        <w:rPr>
          <w:sz w:val="22"/>
          <w:szCs w:val="22"/>
        </w:rPr>
      </w:pPr>
      <w:r>
        <w:rPr>
          <w:sz w:val="22"/>
          <w:szCs w:val="22"/>
        </w:rPr>
        <w:t xml:space="preserve">sistema informático </w:t>
      </w:r>
      <w:r w:rsidRPr="00E50C75">
        <w:rPr>
          <w:sz w:val="22"/>
          <w:szCs w:val="22"/>
        </w:rPr>
        <w:t>“SANDACH” para los operadores del sector de subproductos de origen animal</w:t>
      </w:r>
      <w:r>
        <w:rPr>
          <w:sz w:val="22"/>
          <w:szCs w:val="22"/>
        </w:rPr>
        <w:t>:</w:t>
      </w:r>
      <w:r w:rsidRPr="00E50C75">
        <w:rPr>
          <w:sz w:val="22"/>
          <w:szCs w:val="22"/>
        </w:rPr>
        <w:t xml:space="preserve"> </w:t>
      </w:r>
      <w:hyperlink r:id="rId8" w:history="1">
        <w:r w:rsidRPr="004C6F0C">
          <w:rPr>
            <w:rStyle w:val="Hipervnculo"/>
            <w:sz w:val="22"/>
            <w:szCs w:val="22"/>
          </w:rPr>
          <w:t>https://servicio.mapama.gob.es/sandach/Establecimientos/Estab.aspx</w:t>
        </w:r>
      </w:hyperlink>
    </w:p>
    <w:p w:rsidR="00F805F8" w:rsidRDefault="00F805F8" w:rsidP="00F805F8">
      <w:pPr>
        <w:pStyle w:val="Textoindependiente3"/>
        <w:jc w:val="both"/>
        <w:rPr>
          <w:sz w:val="22"/>
          <w:szCs w:val="22"/>
        </w:rPr>
      </w:pPr>
    </w:p>
    <w:p w:rsidR="00F805F8" w:rsidRDefault="00F805F8" w:rsidP="00F805F8">
      <w:pPr>
        <w:pStyle w:val="Textoindependiente3"/>
        <w:jc w:val="both"/>
        <w:rPr>
          <w:sz w:val="22"/>
          <w:szCs w:val="22"/>
        </w:rPr>
      </w:pPr>
      <w:r>
        <w:rPr>
          <w:sz w:val="22"/>
          <w:szCs w:val="22"/>
        </w:rPr>
        <w:t>A lo largo de 2018, se efectuaron un total de 56 resoluciones para la inscripción o modificación del registro de establecimientos (SILUM), distribuidos de la siguiente manera:</w:t>
      </w:r>
    </w:p>
    <w:p w:rsidR="00F805F8" w:rsidRDefault="00F805F8" w:rsidP="00F805F8">
      <w:pPr>
        <w:pStyle w:val="Textoindependiente3"/>
        <w:numPr>
          <w:ilvl w:val="0"/>
          <w:numId w:val="3"/>
        </w:numPr>
        <w:jc w:val="both"/>
        <w:rPr>
          <w:sz w:val="22"/>
          <w:szCs w:val="22"/>
        </w:rPr>
      </w:pPr>
      <w:r>
        <w:rPr>
          <w:sz w:val="22"/>
          <w:szCs w:val="22"/>
        </w:rPr>
        <w:t>Nuevas inscripciones: 16</w:t>
      </w:r>
    </w:p>
    <w:p w:rsidR="00F805F8" w:rsidRDefault="00F805F8" w:rsidP="00F805F8">
      <w:pPr>
        <w:pStyle w:val="Textoindependiente3"/>
        <w:numPr>
          <w:ilvl w:val="0"/>
          <w:numId w:val="3"/>
        </w:numPr>
        <w:jc w:val="both"/>
        <w:rPr>
          <w:sz w:val="22"/>
          <w:szCs w:val="22"/>
        </w:rPr>
      </w:pPr>
      <w:r>
        <w:rPr>
          <w:sz w:val="22"/>
          <w:szCs w:val="22"/>
        </w:rPr>
        <w:t>Revocaciones: 23</w:t>
      </w:r>
    </w:p>
    <w:p w:rsidR="00F805F8" w:rsidRDefault="00F805F8" w:rsidP="00F805F8">
      <w:pPr>
        <w:pStyle w:val="Textoindependiente3"/>
        <w:numPr>
          <w:ilvl w:val="0"/>
          <w:numId w:val="3"/>
        </w:numPr>
        <w:jc w:val="both"/>
        <w:rPr>
          <w:sz w:val="22"/>
          <w:szCs w:val="22"/>
        </w:rPr>
      </w:pPr>
      <w:r>
        <w:rPr>
          <w:sz w:val="22"/>
          <w:szCs w:val="22"/>
        </w:rPr>
        <w:t>Cambios de titularidad: 6</w:t>
      </w:r>
    </w:p>
    <w:p w:rsidR="00F805F8" w:rsidRDefault="00F805F8" w:rsidP="00F805F8">
      <w:pPr>
        <w:pStyle w:val="Textoindependiente3"/>
        <w:numPr>
          <w:ilvl w:val="0"/>
          <w:numId w:val="3"/>
        </w:numPr>
        <w:jc w:val="both"/>
        <w:rPr>
          <w:sz w:val="22"/>
          <w:szCs w:val="22"/>
        </w:rPr>
      </w:pPr>
      <w:r>
        <w:rPr>
          <w:sz w:val="22"/>
          <w:szCs w:val="22"/>
        </w:rPr>
        <w:t>Suspensiones temporales de actividad: 0</w:t>
      </w:r>
    </w:p>
    <w:p w:rsidR="00F805F8" w:rsidRDefault="00F805F8" w:rsidP="00F805F8">
      <w:pPr>
        <w:pStyle w:val="Textoindependiente3"/>
        <w:numPr>
          <w:ilvl w:val="0"/>
          <w:numId w:val="3"/>
        </w:numPr>
        <w:jc w:val="both"/>
        <w:rPr>
          <w:sz w:val="22"/>
          <w:szCs w:val="22"/>
        </w:rPr>
      </w:pPr>
      <w:r>
        <w:rPr>
          <w:sz w:val="22"/>
          <w:szCs w:val="22"/>
        </w:rPr>
        <w:t>Ampliación de actividad: 3</w:t>
      </w:r>
    </w:p>
    <w:p w:rsidR="00F805F8" w:rsidRDefault="00F805F8" w:rsidP="00F805F8">
      <w:pPr>
        <w:pStyle w:val="Textoindependiente3"/>
        <w:numPr>
          <w:ilvl w:val="0"/>
          <w:numId w:val="3"/>
        </w:numPr>
        <w:jc w:val="both"/>
        <w:rPr>
          <w:sz w:val="22"/>
          <w:szCs w:val="22"/>
        </w:rPr>
      </w:pPr>
      <w:r>
        <w:rPr>
          <w:sz w:val="22"/>
          <w:szCs w:val="22"/>
        </w:rPr>
        <w:t>Modificación de actividad: 4</w:t>
      </w:r>
    </w:p>
    <w:p w:rsidR="00F805F8" w:rsidRDefault="00F805F8" w:rsidP="00F805F8">
      <w:pPr>
        <w:pStyle w:val="Textoindependiente3"/>
        <w:numPr>
          <w:ilvl w:val="0"/>
          <w:numId w:val="3"/>
        </w:numPr>
        <w:jc w:val="both"/>
        <w:rPr>
          <w:sz w:val="22"/>
          <w:szCs w:val="22"/>
        </w:rPr>
      </w:pPr>
      <w:r>
        <w:rPr>
          <w:sz w:val="22"/>
          <w:szCs w:val="22"/>
        </w:rPr>
        <w:t>Cambio de domicilio: 3</w:t>
      </w:r>
    </w:p>
    <w:p w:rsidR="00F805F8" w:rsidRDefault="00F805F8" w:rsidP="00F805F8">
      <w:pPr>
        <w:pStyle w:val="Textoindependiente3"/>
        <w:numPr>
          <w:ilvl w:val="0"/>
          <w:numId w:val="3"/>
        </w:numPr>
        <w:jc w:val="both"/>
        <w:rPr>
          <w:sz w:val="22"/>
          <w:szCs w:val="22"/>
        </w:rPr>
      </w:pPr>
      <w:r>
        <w:rPr>
          <w:sz w:val="22"/>
          <w:szCs w:val="22"/>
        </w:rPr>
        <w:t>Emisión de informe de actividad a petición de parte: 1</w:t>
      </w:r>
    </w:p>
    <w:p w:rsidR="00F805F8" w:rsidRDefault="00F805F8" w:rsidP="00F805F8">
      <w:pPr>
        <w:pStyle w:val="Textoindependiente3"/>
        <w:jc w:val="both"/>
        <w:rPr>
          <w:sz w:val="22"/>
          <w:szCs w:val="22"/>
        </w:rPr>
      </w:pPr>
    </w:p>
    <w:p w:rsidR="00F805F8" w:rsidRPr="00E50C75" w:rsidRDefault="00F805F8" w:rsidP="00F805F8">
      <w:pPr>
        <w:pStyle w:val="Textoindependiente3"/>
        <w:jc w:val="both"/>
        <w:rPr>
          <w:sz w:val="22"/>
          <w:szCs w:val="22"/>
        </w:rPr>
      </w:pPr>
      <w:r w:rsidRPr="00E50C75">
        <w:rPr>
          <w:sz w:val="22"/>
          <w:szCs w:val="22"/>
        </w:rPr>
        <w:t xml:space="preserve"> Los diferentes operadores se encuentran distribuidos de la siguiente manera: </w:t>
      </w:r>
    </w:p>
    <w:p w:rsidR="00F805F8" w:rsidRPr="00E50C75" w:rsidRDefault="00F805F8" w:rsidP="00F805F8">
      <w:pPr>
        <w:pStyle w:val="Textoindependiente3"/>
        <w:numPr>
          <w:ilvl w:val="0"/>
          <w:numId w:val="1"/>
        </w:numPr>
        <w:jc w:val="both"/>
        <w:rPr>
          <w:sz w:val="22"/>
          <w:szCs w:val="22"/>
        </w:rPr>
      </w:pPr>
      <w:r>
        <w:rPr>
          <w:sz w:val="22"/>
          <w:szCs w:val="22"/>
        </w:rPr>
        <w:t>34</w:t>
      </w:r>
      <w:r w:rsidRPr="00277A53">
        <w:rPr>
          <w:sz w:val="22"/>
          <w:szCs w:val="22"/>
        </w:rPr>
        <w:t xml:space="preserve"> </w:t>
      </w:r>
      <w:r>
        <w:rPr>
          <w:sz w:val="22"/>
          <w:szCs w:val="22"/>
        </w:rPr>
        <w:t>fá</w:t>
      </w:r>
      <w:r w:rsidRPr="00E50C75">
        <w:rPr>
          <w:sz w:val="22"/>
          <w:szCs w:val="22"/>
        </w:rPr>
        <w:t>bricas de piensos compuestos</w:t>
      </w:r>
      <w:r>
        <w:rPr>
          <w:sz w:val="22"/>
          <w:szCs w:val="22"/>
        </w:rPr>
        <w:t xml:space="preserve"> (incluido 1 camión</w:t>
      </w:r>
      <w:r w:rsidRPr="00E50C75">
        <w:rPr>
          <w:sz w:val="22"/>
          <w:szCs w:val="22"/>
        </w:rPr>
        <w:t>-mezclador</w:t>
      </w:r>
      <w:r>
        <w:rPr>
          <w:sz w:val="22"/>
          <w:szCs w:val="22"/>
        </w:rPr>
        <w:t xml:space="preserve"> móvil</w:t>
      </w:r>
      <w:r w:rsidRPr="00E50C75">
        <w:rPr>
          <w:sz w:val="22"/>
          <w:szCs w:val="22"/>
        </w:rPr>
        <w:t>)</w:t>
      </w:r>
    </w:p>
    <w:p w:rsidR="00F805F8" w:rsidRDefault="00F805F8" w:rsidP="00F805F8">
      <w:pPr>
        <w:pStyle w:val="Textoindependiente3"/>
        <w:numPr>
          <w:ilvl w:val="0"/>
          <w:numId w:val="1"/>
        </w:numPr>
        <w:jc w:val="both"/>
        <w:rPr>
          <w:sz w:val="22"/>
          <w:szCs w:val="22"/>
        </w:rPr>
      </w:pPr>
      <w:r>
        <w:rPr>
          <w:sz w:val="22"/>
          <w:szCs w:val="22"/>
        </w:rPr>
        <w:t>1</w:t>
      </w:r>
      <w:r w:rsidRPr="00E50C75">
        <w:rPr>
          <w:sz w:val="22"/>
          <w:szCs w:val="22"/>
        </w:rPr>
        <w:t xml:space="preserve"> fábrica de aditivos </w:t>
      </w:r>
    </w:p>
    <w:p w:rsidR="00F805F8" w:rsidRPr="00E50C75" w:rsidRDefault="00F805F8" w:rsidP="00F805F8">
      <w:pPr>
        <w:pStyle w:val="Textoindependiente3"/>
        <w:numPr>
          <w:ilvl w:val="0"/>
          <w:numId w:val="1"/>
        </w:numPr>
        <w:jc w:val="both"/>
        <w:rPr>
          <w:sz w:val="22"/>
          <w:szCs w:val="22"/>
        </w:rPr>
      </w:pPr>
      <w:r>
        <w:rPr>
          <w:sz w:val="22"/>
          <w:szCs w:val="22"/>
        </w:rPr>
        <w:t xml:space="preserve">1 fábrica de </w:t>
      </w:r>
      <w:r w:rsidRPr="00E50C75">
        <w:rPr>
          <w:sz w:val="22"/>
          <w:szCs w:val="22"/>
        </w:rPr>
        <w:t>materias primas de origen mineral</w:t>
      </w:r>
    </w:p>
    <w:p w:rsidR="00F805F8" w:rsidRDefault="00F805F8" w:rsidP="00F805F8">
      <w:pPr>
        <w:pStyle w:val="Textoindependiente3"/>
        <w:numPr>
          <w:ilvl w:val="0"/>
          <w:numId w:val="1"/>
        </w:numPr>
        <w:jc w:val="both"/>
        <w:rPr>
          <w:sz w:val="22"/>
          <w:szCs w:val="22"/>
        </w:rPr>
      </w:pPr>
      <w:r>
        <w:rPr>
          <w:sz w:val="22"/>
          <w:szCs w:val="22"/>
        </w:rPr>
        <w:t>2</w:t>
      </w:r>
      <w:r w:rsidRPr="00E50C75">
        <w:rPr>
          <w:sz w:val="22"/>
          <w:szCs w:val="22"/>
        </w:rPr>
        <w:t xml:space="preserve"> fábricas de materias primas de origen animal (harinas de pescado)</w:t>
      </w:r>
    </w:p>
    <w:p w:rsidR="00F805F8" w:rsidRPr="00E50C75" w:rsidRDefault="00F805F8" w:rsidP="00F805F8">
      <w:pPr>
        <w:pStyle w:val="Textoindependiente3"/>
        <w:numPr>
          <w:ilvl w:val="0"/>
          <w:numId w:val="1"/>
        </w:numPr>
        <w:jc w:val="both"/>
        <w:rPr>
          <w:sz w:val="22"/>
          <w:szCs w:val="22"/>
        </w:rPr>
      </w:pPr>
      <w:r>
        <w:rPr>
          <w:sz w:val="22"/>
          <w:szCs w:val="22"/>
        </w:rPr>
        <w:t>1 fábrica de materias primas de origen vegetal</w:t>
      </w:r>
    </w:p>
    <w:p w:rsidR="00F805F8" w:rsidRPr="00E50C75" w:rsidRDefault="00F805F8" w:rsidP="00F805F8">
      <w:pPr>
        <w:pStyle w:val="Textoindependiente3"/>
        <w:numPr>
          <w:ilvl w:val="0"/>
          <w:numId w:val="1"/>
        </w:numPr>
        <w:jc w:val="both"/>
        <w:rPr>
          <w:sz w:val="22"/>
          <w:szCs w:val="22"/>
        </w:rPr>
      </w:pPr>
      <w:r w:rsidRPr="001E7C69">
        <w:rPr>
          <w:sz w:val="22"/>
          <w:szCs w:val="22"/>
        </w:rPr>
        <w:t>7</w:t>
      </w:r>
      <w:r>
        <w:rPr>
          <w:sz w:val="22"/>
          <w:szCs w:val="22"/>
        </w:rPr>
        <w:t>7</w:t>
      </w:r>
      <w:r w:rsidRPr="00091541">
        <w:rPr>
          <w:color w:val="FF0000"/>
          <w:sz w:val="22"/>
          <w:szCs w:val="22"/>
        </w:rPr>
        <w:t xml:space="preserve"> </w:t>
      </w:r>
      <w:r w:rsidRPr="00E50C75">
        <w:rPr>
          <w:sz w:val="22"/>
          <w:szCs w:val="22"/>
        </w:rPr>
        <w:t>industrias agroalimentarias generadoras de subproductos de origen animal</w:t>
      </w:r>
    </w:p>
    <w:p w:rsidR="00F805F8" w:rsidRPr="00E50C75" w:rsidRDefault="00F805F8" w:rsidP="00F805F8">
      <w:pPr>
        <w:pStyle w:val="Textoindependiente3"/>
        <w:numPr>
          <w:ilvl w:val="0"/>
          <w:numId w:val="1"/>
        </w:numPr>
        <w:jc w:val="both"/>
        <w:rPr>
          <w:sz w:val="22"/>
          <w:szCs w:val="22"/>
        </w:rPr>
      </w:pPr>
      <w:r w:rsidRPr="001E7C69">
        <w:rPr>
          <w:sz w:val="22"/>
          <w:szCs w:val="22"/>
        </w:rPr>
        <w:t xml:space="preserve">2 </w:t>
      </w:r>
      <w:r w:rsidRPr="00E50C75">
        <w:rPr>
          <w:sz w:val="22"/>
          <w:szCs w:val="22"/>
        </w:rPr>
        <w:t>molinos de cereales</w:t>
      </w:r>
    </w:p>
    <w:p w:rsidR="00F805F8" w:rsidRPr="00E50C75" w:rsidRDefault="00F805F8" w:rsidP="00F805F8">
      <w:pPr>
        <w:pStyle w:val="Textoindependiente3"/>
        <w:numPr>
          <w:ilvl w:val="0"/>
          <w:numId w:val="1"/>
        </w:numPr>
        <w:jc w:val="both"/>
        <w:rPr>
          <w:sz w:val="22"/>
          <w:szCs w:val="22"/>
        </w:rPr>
      </w:pPr>
      <w:r w:rsidRPr="00E50C75">
        <w:rPr>
          <w:sz w:val="22"/>
          <w:szCs w:val="22"/>
        </w:rPr>
        <w:t>1 ganadero fabricante de piensos compuestos para autoconsumo</w:t>
      </w:r>
    </w:p>
    <w:p w:rsidR="00F805F8" w:rsidRPr="00E50C75" w:rsidRDefault="00F805F8" w:rsidP="00F805F8">
      <w:pPr>
        <w:pStyle w:val="Textoindependiente3"/>
        <w:numPr>
          <w:ilvl w:val="0"/>
          <w:numId w:val="1"/>
        </w:numPr>
        <w:jc w:val="both"/>
        <w:rPr>
          <w:sz w:val="22"/>
          <w:szCs w:val="22"/>
        </w:rPr>
      </w:pPr>
      <w:r w:rsidRPr="001E7C69">
        <w:rPr>
          <w:sz w:val="22"/>
          <w:szCs w:val="22"/>
        </w:rPr>
        <w:t>14</w:t>
      </w:r>
      <w:r w:rsidRPr="00071BC2">
        <w:rPr>
          <w:color w:val="FF0000"/>
          <w:sz w:val="22"/>
          <w:szCs w:val="22"/>
        </w:rPr>
        <w:t xml:space="preserve"> </w:t>
      </w:r>
      <w:r w:rsidRPr="00E50C75">
        <w:rPr>
          <w:sz w:val="22"/>
          <w:szCs w:val="22"/>
        </w:rPr>
        <w:t xml:space="preserve">intermediarios de aditivos y/o </w:t>
      </w:r>
      <w:proofErr w:type="spellStart"/>
      <w:r w:rsidRPr="00E50C75">
        <w:rPr>
          <w:sz w:val="22"/>
          <w:szCs w:val="22"/>
        </w:rPr>
        <w:t>premezclas</w:t>
      </w:r>
      <w:proofErr w:type="spellEnd"/>
    </w:p>
    <w:p w:rsidR="00F805F8" w:rsidRPr="00E50C75" w:rsidRDefault="00F805F8" w:rsidP="00F805F8">
      <w:pPr>
        <w:pStyle w:val="Textoindependiente3"/>
        <w:numPr>
          <w:ilvl w:val="0"/>
          <w:numId w:val="1"/>
        </w:numPr>
        <w:jc w:val="both"/>
        <w:rPr>
          <w:sz w:val="22"/>
          <w:szCs w:val="22"/>
        </w:rPr>
      </w:pPr>
      <w:r>
        <w:rPr>
          <w:sz w:val="22"/>
          <w:szCs w:val="22"/>
        </w:rPr>
        <w:t>92</w:t>
      </w:r>
      <w:r w:rsidRPr="001E7C69">
        <w:rPr>
          <w:sz w:val="22"/>
          <w:szCs w:val="22"/>
        </w:rPr>
        <w:t xml:space="preserve"> i</w:t>
      </w:r>
      <w:r w:rsidRPr="00E50C75">
        <w:rPr>
          <w:sz w:val="22"/>
          <w:szCs w:val="22"/>
        </w:rPr>
        <w:t xml:space="preserve">ntermediarios de materias primas y/o piensos compuestos         </w:t>
      </w:r>
    </w:p>
    <w:p w:rsidR="00F805F8" w:rsidRPr="00E50C75" w:rsidRDefault="00F805F8" w:rsidP="00F805F8">
      <w:pPr>
        <w:pStyle w:val="Textoindependiente3"/>
        <w:numPr>
          <w:ilvl w:val="0"/>
          <w:numId w:val="1"/>
        </w:numPr>
        <w:jc w:val="both"/>
        <w:rPr>
          <w:sz w:val="22"/>
          <w:szCs w:val="22"/>
        </w:rPr>
      </w:pPr>
      <w:r>
        <w:rPr>
          <w:sz w:val="22"/>
          <w:szCs w:val="22"/>
        </w:rPr>
        <w:t>19</w:t>
      </w:r>
      <w:r w:rsidRPr="00071BC2">
        <w:rPr>
          <w:color w:val="FF0000"/>
          <w:sz w:val="22"/>
          <w:szCs w:val="22"/>
        </w:rPr>
        <w:t xml:space="preserve"> </w:t>
      </w:r>
      <w:r w:rsidRPr="00E50C75">
        <w:rPr>
          <w:sz w:val="22"/>
          <w:szCs w:val="22"/>
        </w:rPr>
        <w:t xml:space="preserve">almacenes </w:t>
      </w:r>
      <w:proofErr w:type="spellStart"/>
      <w:r w:rsidRPr="00E50C75">
        <w:rPr>
          <w:sz w:val="22"/>
          <w:szCs w:val="22"/>
        </w:rPr>
        <w:t>transitarios</w:t>
      </w:r>
      <w:proofErr w:type="spellEnd"/>
      <w:r w:rsidRPr="00E50C75">
        <w:rPr>
          <w:sz w:val="22"/>
          <w:szCs w:val="22"/>
        </w:rPr>
        <w:t xml:space="preserve"> de materias primas de origen vegetal </w:t>
      </w:r>
      <w:r>
        <w:rPr>
          <w:sz w:val="22"/>
          <w:szCs w:val="22"/>
        </w:rPr>
        <w:t>y/o aditivos del Puerto.</w:t>
      </w:r>
    </w:p>
    <w:p w:rsidR="00F805F8" w:rsidRDefault="00F805F8" w:rsidP="00F805F8">
      <w:pPr>
        <w:pStyle w:val="Textoindependiente3"/>
        <w:numPr>
          <w:ilvl w:val="0"/>
          <w:numId w:val="1"/>
        </w:numPr>
        <w:jc w:val="both"/>
        <w:rPr>
          <w:sz w:val="22"/>
          <w:szCs w:val="22"/>
        </w:rPr>
      </w:pPr>
      <w:r w:rsidRPr="001E7C69">
        <w:rPr>
          <w:sz w:val="22"/>
          <w:szCs w:val="22"/>
        </w:rPr>
        <w:t>1</w:t>
      </w:r>
      <w:r>
        <w:rPr>
          <w:sz w:val="22"/>
          <w:szCs w:val="22"/>
        </w:rPr>
        <w:t>56</w:t>
      </w:r>
      <w:r w:rsidRPr="001E7C69">
        <w:rPr>
          <w:sz w:val="22"/>
          <w:szCs w:val="22"/>
        </w:rPr>
        <w:t xml:space="preserve"> </w:t>
      </w:r>
      <w:r w:rsidRPr="00E50C75">
        <w:rPr>
          <w:sz w:val="22"/>
          <w:szCs w:val="22"/>
        </w:rPr>
        <w:t>transportistas de materias primas y/o piensos.</w:t>
      </w:r>
    </w:p>
    <w:p w:rsidR="00F805F8" w:rsidRPr="00A50970" w:rsidRDefault="00F805F8" w:rsidP="00F805F8">
      <w:pPr>
        <w:pStyle w:val="Textoindependiente3"/>
        <w:ind w:left="360"/>
        <w:jc w:val="both"/>
        <w:rPr>
          <w:sz w:val="22"/>
          <w:szCs w:val="22"/>
        </w:rPr>
      </w:pPr>
    </w:p>
    <w:p w:rsidR="00F805F8" w:rsidRPr="00E50C75" w:rsidRDefault="00F805F8" w:rsidP="00F805F8">
      <w:pPr>
        <w:pStyle w:val="Textoindependiente3"/>
        <w:jc w:val="both"/>
        <w:rPr>
          <w:sz w:val="22"/>
          <w:szCs w:val="22"/>
        </w:rPr>
      </w:pPr>
      <w:r w:rsidRPr="00E50C75">
        <w:rPr>
          <w:sz w:val="22"/>
          <w:szCs w:val="22"/>
        </w:rPr>
        <w:t xml:space="preserve">          La producción de piensos c</w:t>
      </w:r>
      <w:r>
        <w:rPr>
          <w:sz w:val="22"/>
          <w:szCs w:val="22"/>
        </w:rPr>
        <w:t xml:space="preserve">ompuestos en 2018 fue de 237.802,04 </w:t>
      </w:r>
      <w:proofErr w:type="spellStart"/>
      <w:r>
        <w:rPr>
          <w:sz w:val="22"/>
          <w:szCs w:val="22"/>
        </w:rPr>
        <w:t>Tn</w:t>
      </w:r>
      <w:proofErr w:type="spellEnd"/>
      <w:r>
        <w:rPr>
          <w:sz w:val="22"/>
          <w:szCs w:val="22"/>
        </w:rPr>
        <w:t>.</w:t>
      </w:r>
      <w:r w:rsidRPr="00E50C75">
        <w:rPr>
          <w:sz w:val="22"/>
          <w:szCs w:val="22"/>
        </w:rPr>
        <w:t>, distribuyéndose, según la especie de destino, del siguiente modo:</w:t>
      </w:r>
    </w:p>
    <w:p w:rsidR="00F805F8" w:rsidRPr="00E50C75" w:rsidRDefault="00F805F8" w:rsidP="00F805F8">
      <w:pPr>
        <w:pStyle w:val="Textoindependiente3"/>
        <w:numPr>
          <w:ilvl w:val="1"/>
          <w:numId w:val="1"/>
        </w:numPr>
        <w:jc w:val="both"/>
        <w:rPr>
          <w:sz w:val="22"/>
          <w:szCs w:val="22"/>
        </w:rPr>
      </w:pPr>
      <w:r w:rsidRPr="00E50C75">
        <w:rPr>
          <w:sz w:val="22"/>
          <w:szCs w:val="22"/>
        </w:rPr>
        <w:t xml:space="preserve">Vacuno: </w:t>
      </w:r>
      <w:r>
        <w:rPr>
          <w:sz w:val="22"/>
          <w:szCs w:val="22"/>
        </w:rPr>
        <w:t xml:space="preserve">229.500,97 </w:t>
      </w:r>
      <w:proofErr w:type="spellStart"/>
      <w:r>
        <w:rPr>
          <w:sz w:val="22"/>
          <w:szCs w:val="22"/>
        </w:rPr>
        <w:t>Tn</w:t>
      </w:r>
      <w:proofErr w:type="spellEnd"/>
      <w:r>
        <w:rPr>
          <w:sz w:val="22"/>
          <w:szCs w:val="22"/>
        </w:rPr>
        <w:t xml:space="preserve">. (96,50 </w:t>
      </w:r>
      <w:r w:rsidRPr="002F2AF5">
        <w:rPr>
          <w:sz w:val="22"/>
          <w:szCs w:val="22"/>
        </w:rPr>
        <w:t>%)</w:t>
      </w:r>
      <w:r>
        <w:rPr>
          <w:color w:val="FF0000"/>
          <w:sz w:val="22"/>
          <w:szCs w:val="22"/>
        </w:rPr>
        <w:t xml:space="preserve"> </w:t>
      </w:r>
    </w:p>
    <w:p w:rsidR="00F805F8" w:rsidRPr="00E50C75" w:rsidRDefault="00F805F8" w:rsidP="00F805F8">
      <w:pPr>
        <w:pStyle w:val="Textoindependiente3"/>
        <w:numPr>
          <w:ilvl w:val="1"/>
          <w:numId w:val="1"/>
        </w:numPr>
        <w:jc w:val="both"/>
        <w:rPr>
          <w:sz w:val="22"/>
          <w:szCs w:val="22"/>
        </w:rPr>
      </w:pPr>
      <w:r w:rsidRPr="00E50C75">
        <w:rPr>
          <w:sz w:val="22"/>
          <w:szCs w:val="22"/>
        </w:rPr>
        <w:t xml:space="preserve">Aves: </w:t>
      </w:r>
      <w:r>
        <w:rPr>
          <w:color w:val="FF0000"/>
          <w:sz w:val="22"/>
          <w:szCs w:val="22"/>
        </w:rPr>
        <w:t xml:space="preserve"> </w:t>
      </w:r>
      <w:r w:rsidRPr="002F2AF5">
        <w:rPr>
          <w:sz w:val="22"/>
          <w:szCs w:val="22"/>
        </w:rPr>
        <w:t xml:space="preserve"> </w:t>
      </w:r>
      <w:r>
        <w:rPr>
          <w:sz w:val="22"/>
          <w:szCs w:val="22"/>
        </w:rPr>
        <w:t xml:space="preserve">4.934,55 </w:t>
      </w:r>
      <w:proofErr w:type="spellStart"/>
      <w:r>
        <w:rPr>
          <w:sz w:val="22"/>
          <w:szCs w:val="22"/>
        </w:rPr>
        <w:t>Tn</w:t>
      </w:r>
      <w:proofErr w:type="spellEnd"/>
      <w:r>
        <w:rPr>
          <w:sz w:val="22"/>
          <w:szCs w:val="22"/>
        </w:rPr>
        <w:t xml:space="preserve">. (2,07 </w:t>
      </w:r>
      <w:r w:rsidRPr="002F2AF5">
        <w:rPr>
          <w:sz w:val="22"/>
          <w:szCs w:val="22"/>
        </w:rPr>
        <w:t>%)</w:t>
      </w:r>
      <w:r>
        <w:rPr>
          <w:color w:val="FF0000"/>
          <w:sz w:val="22"/>
          <w:szCs w:val="22"/>
        </w:rPr>
        <w:t xml:space="preserve"> </w:t>
      </w:r>
    </w:p>
    <w:p w:rsidR="00F805F8" w:rsidRPr="00E50C75" w:rsidRDefault="00F805F8" w:rsidP="00F805F8">
      <w:pPr>
        <w:pStyle w:val="Textoindependiente3"/>
        <w:numPr>
          <w:ilvl w:val="1"/>
          <w:numId w:val="1"/>
        </w:numPr>
        <w:jc w:val="both"/>
        <w:rPr>
          <w:sz w:val="22"/>
          <w:szCs w:val="22"/>
        </w:rPr>
      </w:pPr>
      <w:r w:rsidRPr="00E50C75">
        <w:rPr>
          <w:sz w:val="22"/>
          <w:szCs w:val="22"/>
        </w:rPr>
        <w:t>Equino</w:t>
      </w:r>
      <w:r w:rsidRPr="000F4F16">
        <w:rPr>
          <w:sz w:val="22"/>
          <w:szCs w:val="22"/>
        </w:rPr>
        <w:t xml:space="preserve">: </w:t>
      </w:r>
      <w:r>
        <w:rPr>
          <w:sz w:val="22"/>
          <w:szCs w:val="22"/>
        </w:rPr>
        <w:t xml:space="preserve">1.292,15 </w:t>
      </w:r>
      <w:proofErr w:type="spellStart"/>
      <w:r>
        <w:rPr>
          <w:sz w:val="22"/>
          <w:szCs w:val="22"/>
        </w:rPr>
        <w:t>Tn</w:t>
      </w:r>
      <w:proofErr w:type="spellEnd"/>
      <w:r>
        <w:rPr>
          <w:sz w:val="22"/>
          <w:szCs w:val="22"/>
        </w:rPr>
        <w:t xml:space="preserve">. (0,54 </w:t>
      </w:r>
      <w:r w:rsidRPr="002F2AF5">
        <w:rPr>
          <w:sz w:val="22"/>
          <w:szCs w:val="22"/>
        </w:rPr>
        <w:t>%)</w:t>
      </w:r>
      <w:r>
        <w:rPr>
          <w:color w:val="FF0000"/>
          <w:sz w:val="22"/>
          <w:szCs w:val="22"/>
        </w:rPr>
        <w:t xml:space="preserve"> </w:t>
      </w:r>
    </w:p>
    <w:p w:rsidR="00F805F8" w:rsidRPr="000F4F16" w:rsidRDefault="00F805F8" w:rsidP="00F805F8">
      <w:pPr>
        <w:pStyle w:val="Textoindependiente3"/>
        <w:numPr>
          <w:ilvl w:val="1"/>
          <w:numId w:val="1"/>
        </w:numPr>
        <w:jc w:val="both"/>
        <w:rPr>
          <w:sz w:val="22"/>
          <w:szCs w:val="22"/>
        </w:rPr>
      </w:pPr>
      <w:r w:rsidRPr="000F4F16">
        <w:rPr>
          <w:sz w:val="22"/>
          <w:szCs w:val="22"/>
        </w:rPr>
        <w:t xml:space="preserve">Ovino-caprino: </w:t>
      </w:r>
      <w:r>
        <w:rPr>
          <w:sz w:val="22"/>
          <w:szCs w:val="22"/>
        </w:rPr>
        <w:t xml:space="preserve">870,34 </w:t>
      </w:r>
      <w:proofErr w:type="spellStart"/>
      <w:r>
        <w:rPr>
          <w:sz w:val="22"/>
          <w:szCs w:val="22"/>
        </w:rPr>
        <w:t>Tn</w:t>
      </w:r>
      <w:proofErr w:type="spellEnd"/>
      <w:r>
        <w:rPr>
          <w:sz w:val="22"/>
          <w:szCs w:val="22"/>
        </w:rPr>
        <w:t xml:space="preserve">. (0,36 </w:t>
      </w:r>
      <w:r w:rsidRPr="000F4F16">
        <w:rPr>
          <w:sz w:val="22"/>
          <w:szCs w:val="22"/>
        </w:rPr>
        <w:t xml:space="preserve">%) </w:t>
      </w:r>
    </w:p>
    <w:p w:rsidR="00F805F8" w:rsidRPr="00751B92" w:rsidRDefault="00F805F8" w:rsidP="00F805F8">
      <w:pPr>
        <w:pStyle w:val="Textoindependiente3"/>
        <w:numPr>
          <w:ilvl w:val="1"/>
          <w:numId w:val="1"/>
        </w:numPr>
        <w:jc w:val="both"/>
        <w:rPr>
          <w:sz w:val="22"/>
          <w:szCs w:val="22"/>
        </w:rPr>
      </w:pPr>
      <w:r w:rsidRPr="00751B92">
        <w:rPr>
          <w:sz w:val="22"/>
          <w:szCs w:val="22"/>
        </w:rPr>
        <w:t xml:space="preserve">Conejos: </w:t>
      </w:r>
      <w:r>
        <w:rPr>
          <w:sz w:val="22"/>
          <w:szCs w:val="22"/>
        </w:rPr>
        <w:t xml:space="preserve">429 </w:t>
      </w:r>
      <w:proofErr w:type="spellStart"/>
      <w:r>
        <w:rPr>
          <w:sz w:val="22"/>
          <w:szCs w:val="22"/>
        </w:rPr>
        <w:t>Tn</w:t>
      </w:r>
      <w:proofErr w:type="spellEnd"/>
      <w:r>
        <w:rPr>
          <w:sz w:val="22"/>
          <w:szCs w:val="22"/>
        </w:rPr>
        <w:t xml:space="preserve">. (0,18 </w:t>
      </w:r>
      <w:r w:rsidRPr="00751B92">
        <w:rPr>
          <w:sz w:val="22"/>
          <w:szCs w:val="22"/>
        </w:rPr>
        <w:t>%)</w:t>
      </w:r>
      <w:r>
        <w:rPr>
          <w:sz w:val="22"/>
          <w:szCs w:val="22"/>
        </w:rPr>
        <w:t xml:space="preserve"> </w:t>
      </w:r>
    </w:p>
    <w:p w:rsidR="00F805F8" w:rsidRPr="00751B92" w:rsidRDefault="00F805F8" w:rsidP="00F805F8">
      <w:pPr>
        <w:pStyle w:val="Textoindependiente3"/>
        <w:numPr>
          <w:ilvl w:val="1"/>
          <w:numId w:val="1"/>
        </w:numPr>
        <w:jc w:val="both"/>
        <w:rPr>
          <w:sz w:val="22"/>
          <w:szCs w:val="22"/>
        </w:rPr>
      </w:pPr>
      <w:r w:rsidRPr="00751B92">
        <w:rPr>
          <w:sz w:val="22"/>
          <w:szCs w:val="22"/>
        </w:rPr>
        <w:t xml:space="preserve">Porcino: </w:t>
      </w:r>
      <w:r>
        <w:rPr>
          <w:sz w:val="22"/>
          <w:szCs w:val="22"/>
        </w:rPr>
        <w:t xml:space="preserve">545,95 </w:t>
      </w:r>
      <w:proofErr w:type="spellStart"/>
      <w:r>
        <w:rPr>
          <w:sz w:val="22"/>
          <w:szCs w:val="22"/>
        </w:rPr>
        <w:t>Tn</w:t>
      </w:r>
      <w:proofErr w:type="spellEnd"/>
      <w:r>
        <w:rPr>
          <w:sz w:val="22"/>
          <w:szCs w:val="22"/>
        </w:rPr>
        <w:t xml:space="preserve">. (0,22 </w:t>
      </w:r>
      <w:r w:rsidRPr="00751B92">
        <w:rPr>
          <w:sz w:val="22"/>
          <w:szCs w:val="22"/>
        </w:rPr>
        <w:t xml:space="preserve">%). </w:t>
      </w:r>
    </w:p>
    <w:p w:rsidR="00F805F8" w:rsidRPr="00751B92" w:rsidRDefault="00F805F8" w:rsidP="00F805F8">
      <w:pPr>
        <w:pStyle w:val="Textoindependiente3"/>
        <w:numPr>
          <w:ilvl w:val="1"/>
          <w:numId w:val="1"/>
        </w:numPr>
        <w:jc w:val="both"/>
        <w:rPr>
          <w:sz w:val="22"/>
          <w:szCs w:val="22"/>
        </w:rPr>
      </w:pPr>
      <w:proofErr w:type="spellStart"/>
      <w:r w:rsidRPr="00751B92">
        <w:rPr>
          <w:sz w:val="22"/>
          <w:szCs w:val="22"/>
        </w:rPr>
        <w:t>Multiespecie</w:t>
      </w:r>
      <w:proofErr w:type="spellEnd"/>
      <w:r w:rsidRPr="00751B92">
        <w:rPr>
          <w:sz w:val="22"/>
          <w:szCs w:val="22"/>
        </w:rPr>
        <w:t xml:space="preserve">: </w:t>
      </w:r>
      <w:r>
        <w:rPr>
          <w:sz w:val="22"/>
          <w:szCs w:val="22"/>
        </w:rPr>
        <w:t xml:space="preserve">229,08 </w:t>
      </w:r>
      <w:proofErr w:type="spellStart"/>
      <w:r>
        <w:rPr>
          <w:sz w:val="22"/>
          <w:szCs w:val="22"/>
        </w:rPr>
        <w:t>Tn</w:t>
      </w:r>
      <w:proofErr w:type="spellEnd"/>
      <w:r>
        <w:rPr>
          <w:sz w:val="22"/>
          <w:szCs w:val="22"/>
        </w:rPr>
        <w:t xml:space="preserve">. (0.09 </w:t>
      </w:r>
      <w:r w:rsidRPr="00751B92">
        <w:rPr>
          <w:sz w:val="22"/>
          <w:szCs w:val="22"/>
        </w:rPr>
        <w:t>%).</w:t>
      </w:r>
      <w:r>
        <w:rPr>
          <w:sz w:val="22"/>
          <w:szCs w:val="22"/>
        </w:rPr>
        <w:t xml:space="preserve"> </w:t>
      </w:r>
    </w:p>
    <w:p w:rsidR="00F805F8" w:rsidRPr="002F2AF5" w:rsidRDefault="00F805F8" w:rsidP="00F805F8">
      <w:pPr>
        <w:pStyle w:val="Textoindependiente3"/>
        <w:jc w:val="both"/>
        <w:rPr>
          <w:sz w:val="22"/>
          <w:szCs w:val="22"/>
        </w:rPr>
      </w:pPr>
      <w:r>
        <w:rPr>
          <w:sz w:val="22"/>
          <w:szCs w:val="22"/>
        </w:rPr>
        <w:t xml:space="preserve">          Ello supone un incremento</w:t>
      </w:r>
      <w:r w:rsidRPr="00071BC2">
        <w:rPr>
          <w:color w:val="FF0000"/>
          <w:sz w:val="22"/>
          <w:szCs w:val="22"/>
        </w:rPr>
        <w:t xml:space="preserve"> </w:t>
      </w:r>
      <w:r>
        <w:rPr>
          <w:sz w:val="22"/>
          <w:szCs w:val="22"/>
        </w:rPr>
        <w:t>del 1,3</w:t>
      </w:r>
      <w:r w:rsidRPr="00071BC2">
        <w:rPr>
          <w:color w:val="FF0000"/>
          <w:sz w:val="22"/>
          <w:szCs w:val="22"/>
        </w:rPr>
        <w:t xml:space="preserve"> </w:t>
      </w:r>
      <w:r>
        <w:rPr>
          <w:sz w:val="22"/>
          <w:szCs w:val="22"/>
        </w:rPr>
        <w:t xml:space="preserve">% con respecto a la producción de piensos compuestos de 2017, que fue de 234.669,187 </w:t>
      </w:r>
      <w:proofErr w:type="spellStart"/>
      <w:r>
        <w:rPr>
          <w:sz w:val="22"/>
          <w:szCs w:val="22"/>
        </w:rPr>
        <w:t>Tn</w:t>
      </w:r>
      <w:proofErr w:type="spellEnd"/>
      <w:r>
        <w:rPr>
          <w:sz w:val="22"/>
          <w:szCs w:val="22"/>
        </w:rPr>
        <w:t>. Se produjo un ascenso en</w:t>
      </w:r>
      <w:r w:rsidRPr="002F2AF5">
        <w:rPr>
          <w:sz w:val="22"/>
          <w:szCs w:val="22"/>
        </w:rPr>
        <w:t xml:space="preserve"> la producción de </w:t>
      </w:r>
      <w:r>
        <w:rPr>
          <w:sz w:val="22"/>
          <w:szCs w:val="22"/>
        </w:rPr>
        <w:t xml:space="preserve">todos los tipos de piensos compuestos (el 1,3%, en el caso del pienso compuesto de ganado vacuno; 0,89% en el caso del pienso de aves; 11,16% en el caso del equino y 4,9% en el caso del ovino-caprino), excepto en los de conejos, porcino y </w:t>
      </w:r>
      <w:proofErr w:type="spellStart"/>
      <w:r>
        <w:rPr>
          <w:sz w:val="22"/>
          <w:szCs w:val="22"/>
        </w:rPr>
        <w:t>multiespecie</w:t>
      </w:r>
      <w:proofErr w:type="spellEnd"/>
      <w:r w:rsidRPr="002F2AF5">
        <w:rPr>
          <w:sz w:val="22"/>
          <w:szCs w:val="22"/>
        </w:rPr>
        <w:t>,</w:t>
      </w:r>
      <w:r>
        <w:rPr>
          <w:sz w:val="22"/>
          <w:szCs w:val="22"/>
        </w:rPr>
        <w:t xml:space="preserve"> en los cuales se produjo un descenso del 1,83%, 6,61% y 2,85%, respectivamente.</w:t>
      </w:r>
    </w:p>
    <w:p w:rsidR="00F805F8" w:rsidRPr="00E50C75" w:rsidRDefault="00F805F8" w:rsidP="00F805F8">
      <w:pPr>
        <w:pStyle w:val="Textoindependiente3"/>
        <w:jc w:val="both"/>
        <w:rPr>
          <w:sz w:val="22"/>
          <w:szCs w:val="22"/>
        </w:rPr>
      </w:pPr>
      <w:r w:rsidRPr="00E50C75">
        <w:rPr>
          <w:sz w:val="22"/>
          <w:szCs w:val="22"/>
        </w:rPr>
        <w:t xml:space="preserve">          Por otro lado, dentro de la producción primaria de piensos existen alrededor de </w:t>
      </w:r>
      <w:r>
        <w:rPr>
          <w:sz w:val="22"/>
          <w:szCs w:val="22"/>
        </w:rPr>
        <w:t>7.643</w:t>
      </w:r>
      <w:r w:rsidRPr="00E50C75">
        <w:rPr>
          <w:sz w:val="22"/>
          <w:szCs w:val="22"/>
        </w:rPr>
        <w:t xml:space="preserve"> </w:t>
      </w:r>
      <w:r>
        <w:rPr>
          <w:sz w:val="22"/>
          <w:szCs w:val="22"/>
        </w:rPr>
        <w:t xml:space="preserve">titulares de </w:t>
      </w:r>
      <w:r w:rsidRPr="00E50C75">
        <w:rPr>
          <w:sz w:val="22"/>
          <w:szCs w:val="22"/>
        </w:rPr>
        <w:t xml:space="preserve">explotaciones ganaderas (se excluyen las de autoconsumo) </w:t>
      </w:r>
      <w:r>
        <w:rPr>
          <w:sz w:val="22"/>
          <w:szCs w:val="22"/>
        </w:rPr>
        <w:t>obligado</w:t>
      </w:r>
      <w:r w:rsidRPr="00E50C75">
        <w:rPr>
          <w:sz w:val="22"/>
          <w:szCs w:val="22"/>
        </w:rPr>
        <w:t>s a cumplir los anexos I y/o III del Reglamento 183/2005, de 12 de enero, de higiene de los piensos.</w:t>
      </w:r>
    </w:p>
    <w:p w:rsidR="00F805F8" w:rsidRPr="00E50C75" w:rsidRDefault="00F805F8" w:rsidP="00F805F8">
      <w:pPr>
        <w:pStyle w:val="Textoindependiente3"/>
        <w:jc w:val="both"/>
        <w:rPr>
          <w:sz w:val="22"/>
          <w:szCs w:val="22"/>
        </w:rPr>
      </w:pPr>
      <w:r w:rsidRPr="00E50C75">
        <w:rPr>
          <w:sz w:val="22"/>
          <w:szCs w:val="22"/>
        </w:rPr>
        <w:t xml:space="preserve">          Los Programas de Control Oficial de Alimentación Animal y de SANDACH procedentes de material de categoría 3</w:t>
      </w:r>
      <w:r>
        <w:rPr>
          <w:sz w:val="22"/>
          <w:szCs w:val="22"/>
        </w:rPr>
        <w:t xml:space="preserve"> para 2018</w:t>
      </w:r>
      <w:r w:rsidRPr="00E50C75">
        <w:rPr>
          <w:sz w:val="22"/>
          <w:szCs w:val="22"/>
        </w:rPr>
        <w:t xml:space="preserve">, contemplaban la ejecución de inspecciones y tomas de muestras a lo largo de toda la cadena de producción de piensos, comenzando en la producción primaria y terminando con el suministro de los piensos a los animales. </w:t>
      </w:r>
    </w:p>
    <w:p w:rsidR="00F805F8" w:rsidRPr="00E50C75" w:rsidRDefault="00F805F8" w:rsidP="00F805F8">
      <w:pPr>
        <w:pStyle w:val="Textoindependiente3"/>
        <w:tabs>
          <w:tab w:val="left" w:pos="540"/>
        </w:tabs>
        <w:jc w:val="both"/>
        <w:rPr>
          <w:sz w:val="22"/>
          <w:szCs w:val="22"/>
        </w:rPr>
      </w:pPr>
      <w:r>
        <w:rPr>
          <w:sz w:val="22"/>
          <w:szCs w:val="22"/>
        </w:rPr>
        <w:t xml:space="preserve"> </w:t>
      </w:r>
      <w:r w:rsidRPr="00E50C75">
        <w:rPr>
          <w:sz w:val="22"/>
          <w:szCs w:val="22"/>
        </w:rPr>
        <w:t xml:space="preserve">         Tras la aplicación de los factores de riesgo correspondientes y en función del tipo de operador y de los productos elaborados o manipulados por cada uno de ellos, se ejecutaron los siguientes tipos de controles analíticos: </w:t>
      </w:r>
    </w:p>
    <w:p w:rsidR="00F805F8" w:rsidRPr="00E50C75" w:rsidRDefault="00F805F8" w:rsidP="00F805F8">
      <w:pPr>
        <w:pStyle w:val="Textoindependiente3"/>
        <w:numPr>
          <w:ilvl w:val="0"/>
          <w:numId w:val="2"/>
        </w:numPr>
        <w:jc w:val="both"/>
        <w:rPr>
          <w:sz w:val="22"/>
          <w:szCs w:val="22"/>
        </w:rPr>
      </w:pPr>
      <w:r w:rsidRPr="00E50C75">
        <w:rPr>
          <w:sz w:val="22"/>
          <w:szCs w:val="22"/>
        </w:rPr>
        <w:t xml:space="preserve">Control de la calidad agroalimentaria de los piensos: contenido en humedad, proteína bruta, </w:t>
      </w:r>
      <w:r>
        <w:rPr>
          <w:sz w:val="22"/>
          <w:szCs w:val="22"/>
        </w:rPr>
        <w:t xml:space="preserve">aceites y </w:t>
      </w:r>
      <w:r w:rsidRPr="00E50C75">
        <w:rPr>
          <w:sz w:val="22"/>
          <w:szCs w:val="22"/>
        </w:rPr>
        <w:t>grasas brutas</w:t>
      </w:r>
      <w:r>
        <w:rPr>
          <w:sz w:val="22"/>
          <w:szCs w:val="22"/>
        </w:rPr>
        <w:t>, cenizas brutas, fibr</w:t>
      </w:r>
      <w:r w:rsidRPr="00E50C75">
        <w:rPr>
          <w:sz w:val="22"/>
          <w:szCs w:val="22"/>
        </w:rPr>
        <w:t>a bruta</w:t>
      </w:r>
      <w:r>
        <w:rPr>
          <w:sz w:val="22"/>
          <w:szCs w:val="22"/>
        </w:rPr>
        <w:t>, sodio</w:t>
      </w:r>
      <w:r w:rsidRPr="00E50C75">
        <w:rPr>
          <w:sz w:val="22"/>
          <w:szCs w:val="22"/>
        </w:rPr>
        <w:t xml:space="preserve"> y contenido declarado en la etiqueta de aditivos. Se investigaron </w:t>
      </w:r>
      <w:r>
        <w:rPr>
          <w:sz w:val="22"/>
          <w:szCs w:val="22"/>
        </w:rPr>
        <w:t>83 parámetros de calidad, todos con resultado favorable.</w:t>
      </w:r>
    </w:p>
    <w:p w:rsidR="00F805F8" w:rsidRPr="00343D2F" w:rsidRDefault="00F805F8" w:rsidP="00F805F8">
      <w:pPr>
        <w:pStyle w:val="Textoindependiente3"/>
        <w:numPr>
          <w:ilvl w:val="0"/>
          <w:numId w:val="2"/>
        </w:numPr>
        <w:jc w:val="both"/>
        <w:rPr>
          <w:sz w:val="22"/>
          <w:szCs w:val="22"/>
        </w:rPr>
      </w:pPr>
      <w:r w:rsidRPr="00E50C75">
        <w:rPr>
          <w:sz w:val="22"/>
          <w:szCs w:val="22"/>
        </w:rPr>
        <w:t>Control del uso de Organismos Modificados Genéticamente (</w:t>
      </w:r>
      <w:proofErr w:type="spellStart"/>
      <w:r w:rsidRPr="00E50C75">
        <w:rPr>
          <w:sz w:val="22"/>
          <w:szCs w:val="22"/>
        </w:rPr>
        <w:t>OGMs</w:t>
      </w:r>
      <w:proofErr w:type="spellEnd"/>
      <w:r w:rsidRPr="00E50C75">
        <w:rPr>
          <w:sz w:val="22"/>
          <w:szCs w:val="22"/>
        </w:rPr>
        <w:t>). Se c</w:t>
      </w:r>
      <w:r>
        <w:rPr>
          <w:sz w:val="22"/>
          <w:szCs w:val="22"/>
        </w:rPr>
        <w:t>ontrolaron 4 muestras (31 parámetros) y en ninguno de ellos</w:t>
      </w:r>
      <w:r w:rsidRPr="00343D2F">
        <w:rPr>
          <w:sz w:val="22"/>
          <w:szCs w:val="22"/>
        </w:rPr>
        <w:t xml:space="preserve"> se detectó la presencia de organismos modificados genéticamente no declarados en la etiqueta del producto.</w:t>
      </w:r>
    </w:p>
    <w:p w:rsidR="00F805F8" w:rsidRDefault="00F805F8" w:rsidP="00F805F8">
      <w:pPr>
        <w:pStyle w:val="Textoindependiente3"/>
        <w:numPr>
          <w:ilvl w:val="0"/>
          <w:numId w:val="2"/>
        </w:numPr>
        <w:jc w:val="both"/>
        <w:rPr>
          <w:sz w:val="22"/>
          <w:szCs w:val="22"/>
        </w:rPr>
      </w:pPr>
      <w:r w:rsidRPr="00E50C75">
        <w:rPr>
          <w:sz w:val="22"/>
          <w:szCs w:val="22"/>
        </w:rPr>
        <w:t xml:space="preserve">Control de la presencia de sustancias indeseables en la alimentación animal: metales pesados (mercurio, plomo, cadmio), flúor, nitritos, </w:t>
      </w:r>
      <w:proofErr w:type="spellStart"/>
      <w:r w:rsidRPr="00E50C75">
        <w:rPr>
          <w:sz w:val="22"/>
          <w:szCs w:val="22"/>
        </w:rPr>
        <w:t>aflatoxina</w:t>
      </w:r>
      <w:proofErr w:type="spellEnd"/>
      <w:r w:rsidRPr="00E50C75">
        <w:rPr>
          <w:sz w:val="22"/>
          <w:szCs w:val="22"/>
        </w:rPr>
        <w:t xml:space="preserve"> B1, plaguicidas (</w:t>
      </w:r>
      <w:proofErr w:type="spellStart"/>
      <w:r w:rsidRPr="00E50C75">
        <w:rPr>
          <w:sz w:val="22"/>
          <w:szCs w:val="22"/>
        </w:rPr>
        <w:t>aldrín</w:t>
      </w:r>
      <w:proofErr w:type="spellEnd"/>
      <w:r w:rsidRPr="00E50C75">
        <w:rPr>
          <w:sz w:val="22"/>
          <w:szCs w:val="22"/>
        </w:rPr>
        <w:t xml:space="preserve">, </w:t>
      </w:r>
      <w:proofErr w:type="spellStart"/>
      <w:r w:rsidRPr="00E50C75">
        <w:rPr>
          <w:sz w:val="22"/>
          <w:szCs w:val="22"/>
        </w:rPr>
        <w:t>dieldrín</w:t>
      </w:r>
      <w:proofErr w:type="spellEnd"/>
      <w:r w:rsidRPr="00E50C75">
        <w:rPr>
          <w:sz w:val="22"/>
          <w:szCs w:val="22"/>
        </w:rPr>
        <w:t xml:space="preserve">, </w:t>
      </w:r>
      <w:proofErr w:type="spellStart"/>
      <w:r w:rsidRPr="00E50C75">
        <w:rPr>
          <w:sz w:val="22"/>
          <w:szCs w:val="22"/>
        </w:rPr>
        <w:t>clordán</w:t>
      </w:r>
      <w:proofErr w:type="spellEnd"/>
      <w:r w:rsidRPr="00E50C75">
        <w:rPr>
          <w:sz w:val="22"/>
          <w:szCs w:val="22"/>
        </w:rPr>
        <w:t xml:space="preserve">, DDT, </w:t>
      </w:r>
      <w:proofErr w:type="spellStart"/>
      <w:r w:rsidRPr="00E50C75">
        <w:rPr>
          <w:sz w:val="22"/>
          <w:szCs w:val="22"/>
        </w:rPr>
        <w:t>endosulfán</w:t>
      </w:r>
      <w:proofErr w:type="spellEnd"/>
      <w:r w:rsidRPr="00E50C75">
        <w:rPr>
          <w:sz w:val="22"/>
          <w:szCs w:val="22"/>
        </w:rPr>
        <w:t xml:space="preserve">, </w:t>
      </w:r>
      <w:proofErr w:type="spellStart"/>
      <w:r w:rsidRPr="00E50C75">
        <w:rPr>
          <w:sz w:val="22"/>
          <w:szCs w:val="22"/>
        </w:rPr>
        <w:t>endrín</w:t>
      </w:r>
      <w:proofErr w:type="spellEnd"/>
      <w:r w:rsidRPr="00E50C75">
        <w:rPr>
          <w:sz w:val="22"/>
          <w:szCs w:val="22"/>
        </w:rPr>
        <w:t xml:space="preserve">, </w:t>
      </w:r>
      <w:proofErr w:type="spellStart"/>
      <w:r w:rsidRPr="00E50C75">
        <w:rPr>
          <w:sz w:val="22"/>
          <w:szCs w:val="22"/>
        </w:rPr>
        <w:t>heptacloro</w:t>
      </w:r>
      <w:proofErr w:type="spellEnd"/>
      <w:r w:rsidRPr="00E50C75">
        <w:rPr>
          <w:sz w:val="22"/>
          <w:szCs w:val="22"/>
        </w:rPr>
        <w:t xml:space="preserve">, </w:t>
      </w:r>
      <w:proofErr w:type="spellStart"/>
      <w:r w:rsidRPr="00E50C75">
        <w:rPr>
          <w:sz w:val="22"/>
          <w:szCs w:val="22"/>
        </w:rPr>
        <w:t>hexaclorobenceno</w:t>
      </w:r>
      <w:proofErr w:type="spellEnd"/>
      <w:r w:rsidRPr="00E50C75">
        <w:rPr>
          <w:sz w:val="22"/>
          <w:szCs w:val="22"/>
        </w:rPr>
        <w:t xml:space="preserve"> (HCH), isómeros alfa, isómeros beta e isómeros gamma), </w:t>
      </w:r>
      <w:proofErr w:type="spellStart"/>
      <w:r w:rsidRPr="00E50C75">
        <w:rPr>
          <w:sz w:val="22"/>
          <w:szCs w:val="22"/>
        </w:rPr>
        <w:t>gosipol</w:t>
      </w:r>
      <w:proofErr w:type="spellEnd"/>
      <w:r w:rsidRPr="00E50C75">
        <w:rPr>
          <w:sz w:val="22"/>
          <w:szCs w:val="22"/>
        </w:rPr>
        <w:t xml:space="preserve">, dioxinas, </w:t>
      </w:r>
      <w:proofErr w:type="spellStart"/>
      <w:r w:rsidRPr="00E50C75">
        <w:rPr>
          <w:sz w:val="22"/>
          <w:szCs w:val="22"/>
        </w:rPr>
        <w:t>PCBs</w:t>
      </w:r>
      <w:proofErr w:type="spellEnd"/>
      <w:r w:rsidRPr="00E50C75">
        <w:rPr>
          <w:sz w:val="22"/>
          <w:szCs w:val="22"/>
        </w:rPr>
        <w:t xml:space="preserve"> similares a dioxinas y </w:t>
      </w:r>
      <w:proofErr w:type="spellStart"/>
      <w:r w:rsidRPr="00E50C75">
        <w:rPr>
          <w:sz w:val="22"/>
          <w:szCs w:val="22"/>
        </w:rPr>
        <w:t>PCBs</w:t>
      </w:r>
      <w:proofErr w:type="spellEnd"/>
      <w:r w:rsidRPr="00E50C75">
        <w:rPr>
          <w:sz w:val="22"/>
          <w:szCs w:val="22"/>
        </w:rPr>
        <w:t xml:space="preserve"> no similares a dioxinas. Se investigaron </w:t>
      </w:r>
      <w:r>
        <w:rPr>
          <w:sz w:val="22"/>
          <w:szCs w:val="22"/>
        </w:rPr>
        <w:t>316 parámetros en establecimientos de piensos y 255</w:t>
      </w:r>
      <w:r w:rsidRPr="002324DA">
        <w:rPr>
          <w:sz w:val="22"/>
          <w:szCs w:val="22"/>
        </w:rPr>
        <w:t xml:space="preserve"> </w:t>
      </w:r>
      <w:r>
        <w:rPr>
          <w:sz w:val="22"/>
          <w:szCs w:val="22"/>
        </w:rPr>
        <w:t xml:space="preserve">en explotación ganadera (571 parámetros en total) de los cuales, en tan solo 1 caso, se detectó algún incumplimiento (elevado contenido de </w:t>
      </w:r>
      <w:proofErr w:type="spellStart"/>
      <w:r>
        <w:rPr>
          <w:sz w:val="22"/>
          <w:szCs w:val="22"/>
        </w:rPr>
        <w:t>gosipol</w:t>
      </w:r>
      <w:proofErr w:type="spellEnd"/>
      <w:r>
        <w:rPr>
          <w:sz w:val="22"/>
          <w:szCs w:val="22"/>
        </w:rPr>
        <w:t xml:space="preserve"> libre en semilla de algodón).</w:t>
      </w:r>
    </w:p>
    <w:p w:rsidR="00F805F8" w:rsidRPr="00E50C75" w:rsidRDefault="00F805F8" w:rsidP="00F805F8">
      <w:pPr>
        <w:pStyle w:val="Textoindependiente3"/>
        <w:numPr>
          <w:ilvl w:val="0"/>
          <w:numId w:val="2"/>
        </w:numPr>
        <w:jc w:val="both"/>
        <w:rPr>
          <w:sz w:val="22"/>
          <w:szCs w:val="22"/>
        </w:rPr>
      </w:pPr>
      <w:r w:rsidRPr="00E50C75">
        <w:rPr>
          <w:sz w:val="22"/>
          <w:szCs w:val="22"/>
        </w:rPr>
        <w:t xml:space="preserve">Control de </w:t>
      </w:r>
      <w:r>
        <w:rPr>
          <w:sz w:val="22"/>
          <w:szCs w:val="22"/>
        </w:rPr>
        <w:t xml:space="preserve">sustancias prohibidas: Se investigaron </w:t>
      </w:r>
      <w:r w:rsidRPr="00024C1A">
        <w:rPr>
          <w:sz w:val="22"/>
          <w:szCs w:val="22"/>
        </w:rPr>
        <w:t>1</w:t>
      </w:r>
      <w:r>
        <w:rPr>
          <w:sz w:val="22"/>
          <w:szCs w:val="22"/>
        </w:rPr>
        <w:t xml:space="preserve">58 determinaciones en establecimientos de piensos y </w:t>
      </w:r>
      <w:r w:rsidRPr="002324DA">
        <w:rPr>
          <w:sz w:val="22"/>
          <w:szCs w:val="22"/>
        </w:rPr>
        <w:t>13</w:t>
      </w:r>
      <w:r>
        <w:rPr>
          <w:sz w:val="22"/>
          <w:szCs w:val="22"/>
        </w:rPr>
        <w:t xml:space="preserve"> en explotación ganadera (</w:t>
      </w:r>
      <w:r w:rsidRPr="002324DA">
        <w:rPr>
          <w:sz w:val="22"/>
          <w:szCs w:val="22"/>
        </w:rPr>
        <w:t>171</w:t>
      </w:r>
      <w:r>
        <w:rPr>
          <w:sz w:val="22"/>
          <w:szCs w:val="22"/>
        </w:rPr>
        <w:t xml:space="preserve"> en total)</w:t>
      </w:r>
      <w:r w:rsidRPr="00E50C75">
        <w:rPr>
          <w:sz w:val="22"/>
          <w:szCs w:val="22"/>
        </w:rPr>
        <w:t xml:space="preserve">, </w:t>
      </w:r>
      <w:r>
        <w:rPr>
          <w:sz w:val="22"/>
          <w:szCs w:val="22"/>
        </w:rPr>
        <w:t>todos ellos con resultado favorable.</w:t>
      </w:r>
    </w:p>
    <w:p w:rsidR="00F805F8" w:rsidRPr="00E50C75" w:rsidRDefault="00F805F8" w:rsidP="00F805F8">
      <w:pPr>
        <w:pStyle w:val="Textoindependiente3"/>
        <w:numPr>
          <w:ilvl w:val="0"/>
          <w:numId w:val="2"/>
        </w:numPr>
        <w:jc w:val="both"/>
        <w:rPr>
          <w:sz w:val="22"/>
          <w:szCs w:val="22"/>
        </w:rPr>
      </w:pPr>
      <w:r w:rsidRPr="00E50C75">
        <w:rPr>
          <w:sz w:val="22"/>
          <w:szCs w:val="22"/>
        </w:rPr>
        <w:lastRenderedPageBreak/>
        <w:t xml:space="preserve">Control de agentes </w:t>
      </w:r>
      <w:proofErr w:type="spellStart"/>
      <w:r w:rsidRPr="00E50C75">
        <w:rPr>
          <w:sz w:val="22"/>
          <w:szCs w:val="22"/>
        </w:rPr>
        <w:t>zoonóticos</w:t>
      </w:r>
      <w:proofErr w:type="spellEnd"/>
      <w:r w:rsidRPr="00E50C75">
        <w:rPr>
          <w:sz w:val="22"/>
          <w:szCs w:val="22"/>
        </w:rPr>
        <w:t xml:space="preserve"> en piensos (análisis microbiológicos): Salmonela </w:t>
      </w:r>
      <w:proofErr w:type="spellStart"/>
      <w:r w:rsidRPr="00E50C75">
        <w:rPr>
          <w:sz w:val="22"/>
          <w:szCs w:val="22"/>
        </w:rPr>
        <w:t>spp</w:t>
      </w:r>
      <w:proofErr w:type="spellEnd"/>
      <w:r w:rsidRPr="00E50C75">
        <w:rPr>
          <w:sz w:val="22"/>
          <w:szCs w:val="22"/>
        </w:rPr>
        <w:t xml:space="preserve">, </w:t>
      </w:r>
      <w:proofErr w:type="spellStart"/>
      <w:r w:rsidRPr="00E50C75">
        <w:rPr>
          <w:sz w:val="22"/>
          <w:szCs w:val="22"/>
        </w:rPr>
        <w:t>enterobacterias</w:t>
      </w:r>
      <w:proofErr w:type="spellEnd"/>
      <w:r>
        <w:rPr>
          <w:sz w:val="22"/>
          <w:szCs w:val="22"/>
        </w:rPr>
        <w:t xml:space="preserve"> y </w:t>
      </w:r>
      <w:proofErr w:type="spellStart"/>
      <w:r>
        <w:rPr>
          <w:sz w:val="22"/>
          <w:szCs w:val="22"/>
        </w:rPr>
        <w:t>clostridium</w:t>
      </w:r>
      <w:proofErr w:type="spellEnd"/>
      <w:r>
        <w:rPr>
          <w:sz w:val="22"/>
          <w:szCs w:val="22"/>
        </w:rPr>
        <w:t xml:space="preserve"> </w:t>
      </w:r>
      <w:proofErr w:type="spellStart"/>
      <w:r>
        <w:rPr>
          <w:sz w:val="22"/>
          <w:szCs w:val="22"/>
        </w:rPr>
        <w:t>perfringens</w:t>
      </w:r>
      <w:proofErr w:type="spellEnd"/>
      <w:r w:rsidRPr="00E50C75">
        <w:rPr>
          <w:sz w:val="22"/>
          <w:szCs w:val="22"/>
        </w:rPr>
        <w:t xml:space="preserve">. Se investigaron </w:t>
      </w:r>
      <w:r>
        <w:rPr>
          <w:sz w:val="22"/>
          <w:szCs w:val="22"/>
        </w:rPr>
        <w:t>227</w:t>
      </w:r>
      <w:r w:rsidRPr="00E50C75">
        <w:rPr>
          <w:sz w:val="22"/>
          <w:szCs w:val="22"/>
        </w:rPr>
        <w:t xml:space="preserve"> parámetros, de los cuales </w:t>
      </w:r>
      <w:r>
        <w:rPr>
          <w:sz w:val="22"/>
          <w:szCs w:val="22"/>
        </w:rPr>
        <w:t>8</w:t>
      </w:r>
      <w:r w:rsidRPr="00091541">
        <w:rPr>
          <w:color w:val="FF0000"/>
          <w:sz w:val="22"/>
          <w:szCs w:val="22"/>
        </w:rPr>
        <w:t xml:space="preserve"> </w:t>
      </w:r>
      <w:r>
        <w:rPr>
          <w:sz w:val="22"/>
          <w:szCs w:val="22"/>
        </w:rPr>
        <w:t>no cumplieron</w:t>
      </w:r>
      <w:r w:rsidRPr="00E50C75">
        <w:rPr>
          <w:sz w:val="22"/>
          <w:szCs w:val="22"/>
        </w:rPr>
        <w:t xml:space="preserve"> la normativa</w:t>
      </w:r>
      <w:r>
        <w:rPr>
          <w:sz w:val="22"/>
          <w:szCs w:val="22"/>
        </w:rPr>
        <w:t xml:space="preserve"> (presencia de 3 Salmonellas y 5 </w:t>
      </w:r>
      <w:proofErr w:type="spellStart"/>
      <w:r>
        <w:rPr>
          <w:sz w:val="22"/>
          <w:szCs w:val="22"/>
        </w:rPr>
        <w:t>Clostridium</w:t>
      </w:r>
      <w:proofErr w:type="spellEnd"/>
      <w:r>
        <w:rPr>
          <w:sz w:val="22"/>
          <w:szCs w:val="22"/>
        </w:rPr>
        <w:t xml:space="preserve"> </w:t>
      </w:r>
      <w:proofErr w:type="spellStart"/>
      <w:r>
        <w:rPr>
          <w:sz w:val="22"/>
          <w:szCs w:val="22"/>
        </w:rPr>
        <w:t>perfringens</w:t>
      </w:r>
      <w:proofErr w:type="spellEnd"/>
      <w:r>
        <w:rPr>
          <w:sz w:val="22"/>
          <w:szCs w:val="22"/>
        </w:rPr>
        <w:t xml:space="preserve"> en harina de pescado)</w:t>
      </w:r>
      <w:r w:rsidRPr="00E50C75">
        <w:rPr>
          <w:sz w:val="22"/>
          <w:szCs w:val="22"/>
        </w:rPr>
        <w:t>.</w:t>
      </w:r>
    </w:p>
    <w:p w:rsidR="00F805F8" w:rsidRPr="002867F0" w:rsidRDefault="00F805F8" w:rsidP="00F805F8">
      <w:pPr>
        <w:pStyle w:val="Textoindependiente3"/>
        <w:numPr>
          <w:ilvl w:val="0"/>
          <w:numId w:val="2"/>
        </w:numPr>
        <w:jc w:val="both"/>
        <w:rPr>
          <w:sz w:val="22"/>
          <w:szCs w:val="22"/>
        </w:rPr>
      </w:pPr>
      <w:r w:rsidRPr="002867F0">
        <w:rPr>
          <w:sz w:val="22"/>
          <w:szCs w:val="22"/>
        </w:rPr>
        <w:t>Control de proteínas animales transformadas (de uso restringido en piensos): harinas de carne y huesos, harinas de pescado</w:t>
      </w:r>
      <w:r>
        <w:rPr>
          <w:sz w:val="22"/>
          <w:szCs w:val="22"/>
        </w:rPr>
        <w:t>, etc</w:t>
      </w:r>
      <w:r w:rsidRPr="002867F0">
        <w:rPr>
          <w:sz w:val="22"/>
          <w:szCs w:val="22"/>
        </w:rPr>
        <w:t xml:space="preserve">. Se efectuaron </w:t>
      </w:r>
      <w:r>
        <w:rPr>
          <w:sz w:val="22"/>
          <w:szCs w:val="22"/>
        </w:rPr>
        <w:t>26</w:t>
      </w:r>
      <w:r w:rsidRPr="002867F0">
        <w:rPr>
          <w:sz w:val="22"/>
          <w:szCs w:val="22"/>
        </w:rPr>
        <w:t xml:space="preserve"> determinaciones analíticas</w:t>
      </w:r>
      <w:r>
        <w:rPr>
          <w:sz w:val="22"/>
          <w:szCs w:val="22"/>
        </w:rPr>
        <w:t xml:space="preserve"> en establecimientos de piensos y </w:t>
      </w:r>
      <w:r w:rsidRPr="002324DA">
        <w:rPr>
          <w:sz w:val="22"/>
          <w:szCs w:val="22"/>
        </w:rPr>
        <w:t>32</w:t>
      </w:r>
      <w:r>
        <w:rPr>
          <w:sz w:val="22"/>
          <w:szCs w:val="22"/>
        </w:rPr>
        <w:t xml:space="preserve"> en explotación ganadera (</w:t>
      </w:r>
      <w:r w:rsidRPr="002324DA">
        <w:rPr>
          <w:sz w:val="22"/>
          <w:szCs w:val="22"/>
        </w:rPr>
        <w:t>58</w:t>
      </w:r>
      <w:r>
        <w:rPr>
          <w:sz w:val="22"/>
          <w:szCs w:val="22"/>
        </w:rPr>
        <w:t xml:space="preserve"> en total)</w:t>
      </w:r>
      <w:r w:rsidRPr="002867F0">
        <w:rPr>
          <w:sz w:val="22"/>
          <w:szCs w:val="22"/>
        </w:rPr>
        <w:t>, todas con resultado favorable.</w:t>
      </w:r>
    </w:p>
    <w:p w:rsidR="00F805F8" w:rsidRPr="00E50C75" w:rsidRDefault="00F805F8" w:rsidP="00F805F8">
      <w:pPr>
        <w:pStyle w:val="Textoindependiente3"/>
        <w:jc w:val="both"/>
        <w:rPr>
          <w:sz w:val="22"/>
          <w:szCs w:val="22"/>
        </w:rPr>
      </w:pPr>
      <w:r w:rsidRPr="00E50C75">
        <w:rPr>
          <w:sz w:val="22"/>
          <w:szCs w:val="22"/>
        </w:rPr>
        <w:t xml:space="preserve">          Como consec</w:t>
      </w:r>
      <w:r>
        <w:rPr>
          <w:sz w:val="22"/>
          <w:szCs w:val="22"/>
        </w:rPr>
        <w:t xml:space="preserve">uencia, en total se efectuaron </w:t>
      </w:r>
      <w:r w:rsidRPr="00546F72">
        <w:rPr>
          <w:sz w:val="22"/>
          <w:szCs w:val="22"/>
        </w:rPr>
        <w:t>412</w:t>
      </w:r>
      <w:r>
        <w:rPr>
          <w:sz w:val="22"/>
          <w:szCs w:val="22"/>
        </w:rPr>
        <w:t xml:space="preserve"> controles (315 en establecimientos y </w:t>
      </w:r>
      <w:r w:rsidRPr="00546F72">
        <w:rPr>
          <w:sz w:val="22"/>
          <w:szCs w:val="22"/>
        </w:rPr>
        <w:t>97</w:t>
      </w:r>
      <w:r>
        <w:rPr>
          <w:sz w:val="22"/>
          <w:szCs w:val="22"/>
        </w:rPr>
        <w:t xml:space="preserve"> en explotación ganadera), en el transcurso de los cuales </w:t>
      </w:r>
      <w:r w:rsidRPr="00E50C75">
        <w:rPr>
          <w:sz w:val="22"/>
          <w:szCs w:val="22"/>
        </w:rPr>
        <w:t xml:space="preserve">se tomaron </w:t>
      </w:r>
      <w:r w:rsidRPr="002324DA">
        <w:rPr>
          <w:sz w:val="22"/>
          <w:szCs w:val="22"/>
        </w:rPr>
        <w:t>376</w:t>
      </w:r>
      <w:r w:rsidRPr="003F50E0">
        <w:rPr>
          <w:sz w:val="22"/>
          <w:szCs w:val="22"/>
        </w:rPr>
        <w:t xml:space="preserve"> </w:t>
      </w:r>
      <w:r>
        <w:rPr>
          <w:sz w:val="22"/>
          <w:szCs w:val="22"/>
        </w:rPr>
        <w:t xml:space="preserve">muestras de piensos </w:t>
      </w:r>
      <w:r w:rsidRPr="00E50C75">
        <w:rPr>
          <w:sz w:val="22"/>
          <w:szCs w:val="22"/>
        </w:rPr>
        <w:t>entre aditivos, mater</w:t>
      </w:r>
      <w:r>
        <w:rPr>
          <w:sz w:val="22"/>
          <w:szCs w:val="22"/>
        </w:rPr>
        <w:t xml:space="preserve">ias primas y piensos compuestos (257 en establecimientos y </w:t>
      </w:r>
      <w:r w:rsidRPr="002324DA">
        <w:rPr>
          <w:sz w:val="22"/>
          <w:szCs w:val="22"/>
        </w:rPr>
        <w:t>119</w:t>
      </w:r>
      <w:r>
        <w:rPr>
          <w:sz w:val="22"/>
          <w:szCs w:val="22"/>
        </w:rPr>
        <w:t xml:space="preserve"> en explotación ganadera)</w:t>
      </w:r>
      <w:r w:rsidRPr="00E50C75">
        <w:rPr>
          <w:sz w:val="22"/>
          <w:szCs w:val="22"/>
        </w:rPr>
        <w:t>, sob</w:t>
      </w:r>
      <w:r>
        <w:rPr>
          <w:sz w:val="22"/>
          <w:szCs w:val="22"/>
        </w:rPr>
        <w:t xml:space="preserve">re las que se investigaron </w:t>
      </w:r>
      <w:r w:rsidRPr="002324DA">
        <w:rPr>
          <w:sz w:val="22"/>
          <w:szCs w:val="22"/>
        </w:rPr>
        <w:t>1.127</w:t>
      </w:r>
      <w:r>
        <w:rPr>
          <w:sz w:val="22"/>
          <w:szCs w:val="22"/>
        </w:rPr>
        <w:t xml:space="preserve"> </w:t>
      </w:r>
      <w:r w:rsidRPr="00E50C75">
        <w:rPr>
          <w:sz w:val="22"/>
          <w:szCs w:val="22"/>
        </w:rPr>
        <w:t>determinaciones analíticas</w:t>
      </w:r>
      <w:r>
        <w:rPr>
          <w:sz w:val="22"/>
          <w:szCs w:val="22"/>
        </w:rPr>
        <w:t xml:space="preserve"> (827 en establecimiento y 300 en explotación ganadera)</w:t>
      </w:r>
      <w:r w:rsidRPr="00E50C75">
        <w:rPr>
          <w:sz w:val="22"/>
          <w:szCs w:val="22"/>
        </w:rPr>
        <w:t xml:space="preserve">, desprendiéndose un total de </w:t>
      </w:r>
      <w:r>
        <w:rPr>
          <w:sz w:val="22"/>
          <w:szCs w:val="22"/>
        </w:rPr>
        <w:t>9</w:t>
      </w:r>
      <w:r>
        <w:rPr>
          <w:color w:val="FF0000"/>
          <w:sz w:val="22"/>
          <w:szCs w:val="22"/>
        </w:rPr>
        <w:t xml:space="preserve"> </w:t>
      </w:r>
      <w:r w:rsidRPr="00E50C75">
        <w:rPr>
          <w:sz w:val="22"/>
          <w:szCs w:val="22"/>
        </w:rPr>
        <w:t xml:space="preserve">no conformidades en </w:t>
      </w:r>
      <w:r>
        <w:rPr>
          <w:sz w:val="22"/>
          <w:szCs w:val="22"/>
        </w:rPr>
        <w:t>9</w:t>
      </w:r>
      <w:r w:rsidRPr="00091541">
        <w:rPr>
          <w:color w:val="FF0000"/>
          <w:sz w:val="22"/>
          <w:szCs w:val="22"/>
        </w:rPr>
        <w:t xml:space="preserve"> </w:t>
      </w:r>
      <w:r w:rsidRPr="00E50C75">
        <w:rPr>
          <w:sz w:val="22"/>
          <w:szCs w:val="22"/>
        </w:rPr>
        <w:t xml:space="preserve">de las muestras tomadas (el </w:t>
      </w:r>
      <w:r w:rsidRPr="002324DA">
        <w:rPr>
          <w:sz w:val="22"/>
          <w:szCs w:val="22"/>
        </w:rPr>
        <w:t>0.79</w:t>
      </w:r>
      <w:r>
        <w:rPr>
          <w:sz w:val="22"/>
          <w:szCs w:val="22"/>
        </w:rPr>
        <w:t xml:space="preserve">% </w:t>
      </w:r>
      <w:r w:rsidRPr="00E50C75">
        <w:rPr>
          <w:sz w:val="22"/>
          <w:szCs w:val="22"/>
        </w:rPr>
        <w:t>de</w:t>
      </w:r>
      <w:r>
        <w:rPr>
          <w:sz w:val="22"/>
          <w:szCs w:val="22"/>
        </w:rPr>
        <w:t xml:space="preserve"> las determinaciones analíticas y</w:t>
      </w:r>
      <w:r w:rsidRPr="00E50C75">
        <w:rPr>
          <w:sz w:val="22"/>
          <w:szCs w:val="22"/>
        </w:rPr>
        <w:t xml:space="preserve"> el </w:t>
      </w:r>
      <w:r w:rsidRPr="002324DA">
        <w:rPr>
          <w:sz w:val="22"/>
          <w:szCs w:val="22"/>
        </w:rPr>
        <w:t>2,39</w:t>
      </w:r>
      <w:r w:rsidRPr="00E50C75">
        <w:rPr>
          <w:sz w:val="22"/>
          <w:szCs w:val="22"/>
        </w:rPr>
        <w:t>% de las muestras</w:t>
      </w:r>
      <w:r>
        <w:rPr>
          <w:sz w:val="22"/>
          <w:szCs w:val="22"/>
        </w:rPr>
        <w:t xml:space="preserve"> resultaron desfavorables</w:t>
      </w:r>
      <w:r w:rsidRPr="00E50C75">
        <w:rPr>
          <w:sz w:val="22"/>
          <w:szCs w:val="22"/>
        </w:rPr>
        <w:t>), lo que supuso:</w:t>
      </w:r>
    </w:p>
    <w:p w:rsidR="00F805F8" w:rsidRDefault="00F805F8" w:rsidP="00F805F8">
      <w:pPr>
        <w:pStyle w:val="Textoindependiente3"/>
        <w:spacing w:after="0" w:line="240" w:lineRule="exact"/>
        <w:jc w:val="both"/>
        <w:rPr>
          <w:sz w:val="22"/>
          <w:szCs w:val="22"/>
        </w:rPr>
      </w:pPr>
      <w:r w:rsidRPr="00E50C75">
        <w:rPr>
          <w:sz w:val="22"/>
          <w:szCs w:val="22"/>
        </w:rPr>
        <w:t>-</w:t>
      </w:r>
      <w:r>
        <w:rPr>
          <w:sz w:val="22"/>
          <w:szCs w:val="22"/>
        </w:rPr>
        <w:t>5</w:t>
      </w:r>
      <w:r w:rsidRPr="00091541">
        <w:rPr>
          <w:color w:val="FF0000"/>
          <w:sz w:val="22"/>
          <w:szCs w:val="22"/>
        </w:rPr>
        <w:t xml:space="preserve"> </w:t>
      </w:r>
      <w:r w:rsidRPr="00E50C75">
        <w:rPr>
          <w:sz w:val="22"/>
          <w:szCs w:val="22"/>
        </w:rPr>
        <w:t>expedientes sancionadores.</w:t>
      </w:r>
    </w:p>
    <w:p w:rsidR="00F805F8" w:rsidRDefault="00F805F8" w:rsidP="00F805F8">
      <w:pPr>
        <w:pStyle w:val="Textoindependiente3"/>
        <w:spacing w:after="0" w:line="240" w:lineRule="exact"/>
        <w:jc w:val="both"/>
        <w:rPr>
          <w:sz w:val="22"/>
          <w:szCs w:val="22"/>
        </w:rPr>
      </w:pPr>
    </w:p>
    <w:p w:rsidR="00F805F8" w:rsidRDefault="00F805F8" w:rsidP="00F805F8">
      <w:pPr>
        <w:pStyle w:val="Textoindependiente3"/>
        <w:spacing w:after="0" w:line="240" w:lineRule="exact"/>
        <w:jc w:val="both"/>
        <w:rPr>
          <w:sz w:val="22"/>
          <w:szCs w:val="22"/>
        </w:rPr>
      </w:pPr>
      <w:r>
        <w:rPr>
          <w:sz w:val="22"/>
          <w:szCs w:val="22"/>
        </w:rPr>
        <w:t>-97 requerimientos de subsanación de no conformidades, distribuidos de la siguiente manera:</w:t>
      </w:r>
    </w:p>
    <w:p w:rsidR="00F805F8" w:rsidRPr="00E50C75" w:rsidRDefault="00F805F8" w:rsidP="00F805F8">
      <w:pPr>
        <w:pStyle w:val="Textoindependiente3"/>
        <w:spacing w:after="0" w:line="240" w:lineRule="exact"/>
        <w:jc w:val="both"/>
        <w:rPr>
          <w:sz w:val="22"/>
          <w:szCs w:val="22"/>
        </w:rPr>
      </w:pPr>
    </w:p>
    <w:p w:rsidR="00F805F8" w:rsidRDefault="00F805F8" w:rsidP="00F805F8">
      <w:pPr>
        <w:pStyle w:val="Textoindependiente"/>
        <w:numPr>
          <w:ilvl w:val="0"/>
          <w:numId w:val="4"/>
        </w:numPr>
        <w:rPr>
          <w:sz w:val="22"/>
          <w:szCs w:val="22"/>
        </w:rPr>
      </w:pPr>
      <w:r>
        <w:rPr>
          <w:sz w:val="22"/>
          <w:szCs w:val="22"/>
        </w:rPr>
        <w:t>18</w:t>
      </w:r>
      <w:r w:rsidRPr="007C2725">
        <w:rPr>
          <w:sz w:val="22"/>
          <w:szCs w:val="22"/>
        </w:rPr>
        <w:t xml:space="preserve"> </w:t>
      </w:r>
      <w:r w:rsidRPr="00E50C75">
        <w:rPr>
          <w:sz w:val="22"/>
          <w:szCs w:val="22"/>
        </w:rPr>
        <w:t>requerimientos de subsanación de no c</w:t>
      </w:r>
      <w:r>
        <w:rPr>
          <w:sz w:val="22"/>
          <w:szCs w:val="22"/>
        </w:rPr>
        <w:t>onformidades a establecimientos de piensos</w:t>
      </w:r>
    </w:p>
    <w:p w:rsidR="00F805F8" w:rsidRDefault="00F805F8" w:rsidP="00F805F8">
      <w:pPr>
        <w:pStyle w:val="Textoindependiente"/>
        <w:rPr>
          <w:sz w:val="22"/>
          <w:szCs w:val="22"/>
        </w:rPr>
      </w:pPr>
    </w:p>
    <w:p w:rsidR="00F805F8" w:rsidRDefault="00F805F8" w:rsidP="00F805F8">
      <w:pPr>
        <w:pStyle w:val="Textoindependiente"/>
        <w:numPr>
          <w:ilvl w:val="0"/>
          <w:numId w:val="4"/>
        </w:numPr>
        <w:rPr>
          <w:sz w:val="22"/>
          <w:szCs w:val="22"/>
        </w:rPr>
      </w:pPr>
      <w:r>
        <w:rPr>
          <w:sz w:val="22"/>
          <w:szCs w:val="22"/>
        </w:rPr>
        <w:t>13</w:t>
      </w:r>
      <w:r w:rsidRPr="007C2725">
        <w:rPr>
          <w:sz w:val="22"/>
          <w:szCs w:val="22"/>
        </w:rPr>
        <w:t xml:space="preserve"> </w:t>
      </w:r>
      <w:r>
        <w:rPr>
          <w:sz w:val="22"/>
          <w:szCs w:val="22"/>
        </w:rPr>
        <w:t>requerimientos de subsanación de no conformidades a industrias agroalimentarias</w:t>
      </w:r>
    </w:p>
    <w:p w:rsidR="00F805F8" w:rsidRDefault="00F805F8" w:rsidP="00F805F8">
      <w:pPr>
        <w:pStyle w:val="Textoindependiente"/>
        <w:rPr>
          <w:sz w:val="22"/>
          <w:szCs w:val="22"/>
        </w:rPr>
      </w:pPr>
    </w:p>
    <w:p w:rsidR="00F805F8" w:rsidRDefault="00F805F8" w:rsidP="00F805F8">
      <w:pPr>
        <w:pStyle w:val="Textoindependiente"/>
        <w:numPr>
          <w:ilvl w:val="0"/>
          <w:numId w:val="4"/>
        </w:numPr>
        <w:rPr>
          <w:sz w:val="22"/>
          <w:szCs w:val="22"/>
        </w:rPr>
      </w:pPr>
      <w:r>
        <w:rPr>
          <w:sz w:val="22"/>
          <w:szCs w:val="22"/>
        </w:rPr>
        <w:t>14</w:t>
      </w:r>
      <w:r w:rsidRPr="007C2725">
        <w:rPr>
          <w:sz w:val="22"/>
          <w:szCs w:val="22"/>
        </w:rPr>
        <w:t xml:space="preserve"> </w:t>
      </w:r>
      <w:r w:rsidRPr="00E50C75">
        <w:rPr>
          <w:sz w:val="22"/>
          <w:szCs w:val="22"/>
        </w:rPr>
        <w:t>requerimientos de subsanación de no conformidades a transportistas.</w:t>
      </w:r>
    </w:p>
    <w:p w:rsidR="00F805F8" w:rsidRDefault="00F805F8" w:rsidP="00F805F8">
      <w:pPr>
        <w:pStyle w:val="Textoindependiente"/>
        <w:rPr>
          <w:sz w:val="22"/>
          <w:szCs w:val="22"/>
        </w:rPr>
      </w:pPr>
    </w:p>
    <w:p w:rsidR="00F805F8" w:rsidRDefault="00F805F8" w:rsidP="00F805F8">
      <w:pPr>
        <w:pStyle w:val="Textoindependiente"/>
        <w:numPr>
          <w:ilvl w:val="0"/>
          <w:numId w:val="4"/>
        </w:numPr>
        <w:rPr>
          <w:sz w:val="22"/>
          <w:szCs w:val="22"/>
        </w:rPr>
      </w:pPr>
      <w:r>
        <w:rPr>
          <w:sz w:val="22"/>
          <w:szCs w:val="22"/>
        </w:rPr>
        <w:t>26</w:t>
      </w:r>
      <w:r w:rsidRPr="00E50C75">
        <w:rPr>
          <w:sz w:val="22"/>
          <w:szCs w:val="22"/>
        </w:rPr>
        <w:t xml:space="preserve"> requerimientos de no conformidades a explotaciones ganaderas.</w:t>
      </w:r>
    </w:p>
    <w:p w:rsidR="00F805F8" w:rsidRDefault="00F805F8" w:rsidP="00F805F8">
      <w:pPr>
        <w:pStyle w:val="Prrafodelista"/>
        <w:rPr>
          <w:sz w:val="22"/>
          <w:szCs w:val="22"/>
        </w:rPr>
      </w:pPr>
    </w:p>
    <w:p w:rsidR="00F805F8" w:rsidRDefault="00F805F8" w:rsidP="00F805F8">
      <w:pPr>
        <w:pStyle w:val="Textoindependiente"/>
        <w:numPr>
          <w:ilvl w:val="0"/>
          <w:numId w:val="4"/>
        </w:numPr>
        <w:rPr>
          <w:sz w:val="22"/>
          <w:szCs w:val="22"/>
        </w:rPr>
      </w:pPr>
      <w:r>
        <w:rPr>
          <w:sz w:val="22"/>
          <w:szCs w:val="22"/>
        </w:rPr>
        <w:t>25 requerimientos de no conformidades a intermediarios de piensos.</w:t>
      </w:r>
    </w:p>
    <w:p w:rsidR="00F805F8" w:rsidRDefault="00F805F8" w:rsidP="00F805F8">
      <w:pPr>
        <w:pStyle w:val="Prrafodelista"/>
        <w:rPr>
          <w:sz w:val="22"/>
          <w:szCs w:val="22"/>
        </w:rPr>
      </w:pPr>
    </w:p>
    <w:p w:rsidR="00F805F8" w:rsidRDefault="00F805F8" w:rsidP="00F805F8">
      <w:pPr>
        <w:pStyle w:val="Textoindependiente"/>
        <w:numPr>
          <w:ilvl w:val="0"/>
          <w:numId w:val="4"/>
        </w:numPr>
        <w:rPr>
          <w:sz w:val="22"/>
          <w:szCs w:val="22"/>
        </w:rPr>
      </w:pPr>
      <w:r>
        <w:rPr>
          <w:sz w:val="22"/>
          <w:szCs w:val="22"/>
        </w:rPr>
        <w:t>1 requerimiento de no conformidad a fabricantes de harinas de pescado.</w:t>
      </w:r>
    </w:p>
    <w:p w:rsidR="00F805F8" w:rsidRDefault="00F805F8" w:rsidP="00F805F8">
      <w:pPr>
        <w:pStyle w:val="Textoindependiente"/>
        <w:tabs>
          <w:tab w:val="left" w:pos="540"/>
        </w:tabs>
        <w:rPr>
          <w:sz w:val="22"/>
          <w:szCs w:val="22"/>
        </w:rPr>
      </w:pPr>
    </w:p>
    <w:p w:rsidR="00F805F8" w:rsidRDefault="00F805F8" w:rsidP="00F805F8">
      <w:pPr>
        <w:pStyle w:val="Textoindependiente"/>
        <w:rPr>
          <w:sz w:val="22"/>
          <w:szCs w:val="22"/>
        </w:rPr>
      </w:pPr>
      <w:r w:rsidRPr="00E50C75">
        <w:rPr>
          <w:sz w:val="22"/>
          <w:szCs w:val="22"/>
        </w:rPr>
        <w:t>-</w:t>
      </w:r>
      <w:r w:rsidRPr="00307EFB">
        <w:rPr>
          <w:sz w:val="22"/>
          <w:szCs w:val="22"/>
        </w:rPr>
        <w:t>14</w:t>
      </w:r>
      <w:r w:rsidRPr="00E50C75">
        <w:rPr>
          <w:sz w:val="22"/>
          <w:szCs w:val="22"/>
        </w:rPr>
        <w:t xml:space="preserve"> informes desfavorables en materia de condicionalidad ganadera, suponiendo una reduc</w:t>
      </w:r>
      <w:r>
        <w:rPr>
          <w:sz w:val="22"/>
          <w:szCs w:val="22"/>
        </w:rPr>
        <w:t xml:space="preserve">ción del 3% </w:t>
      </w:r>
      <w:r w:rsidRPr="00E50C75">
        <w:rPr>
          <w:sz w:val="22"/>
          <w:szCs w:val="22"/>
        </w:rPr>
        <w:t xml:space="preserve">en los importes de las ayudas de </w:t>
      </w:r>
      <w:smartTag w:uri="urn:schemas-microsoft-com:office:smarttags" w:element="PersonName">
        <w:smartTagPr>
          <w:attr w:name="ProductID" w:val="la PAC"/>
        </w:smartTagPr>
        <w:r w:rsidRPr="00E50C75">
          <w:rPr>
            <w:sz w:val="22"/>
            <w:szCs w:val="22"/>
          </w:rPr>
          <w:t>la PAC</w:t>
        </w:r>
      </w:smartTag>
      <w:r w:rsidRPr="00E50C75">
        <w:rPr>
          <w:sz w:val="22"/>
          <w:szCs w:val="22"/>
        </w:rPr>
        <w:t xml:space="preserve"> para las explotaciones afectadas.</w:t>
      </w:r>
    </w:p>
    <w:p w:rsidR="00F805F8" w:rsidRDefault="00F805F8" w:rsidP="00F805F8">
      <w:pPr>
        <w:pStyle w:val="Textoindependiente"/>
        <w:rPr>
          <w:sz w:val="22"/>
          <w:szCs w:val="22"/>
        </w:rPr>
      </w:pPr>
    </w:p>
    <w:p w:rsidR="00F805F8" w:rsidRDefault="00F805F8" w:rsidP="00F805F8">
      <w:pPr>
        <w:pStyle w:val="Textoindependiente"/>
        <w:rPr>
          <w:sz w:val="22"/>
          <w:szCs w:val="22"/>
        </w:rPr>
      </w:pPr>
      <w:r>
        <w:rPr>
          <w:sz w:val="22"/>
          <w:szCs w:val="22"/>
        </w:rPr>
        <w:t xml:space="preserve">Los 9 resultados analíticos desfavorables obtenidos se introdujeron en </w:t>
      </w:r>
      <w:smartTag w:uri="urn:schemas-microsoft-com:office:smarttags" w:element="PersonName">
        <w:smartTagPr>
          <w:attr w:name="ProductID" w:val="la Red"/>
        </w:smartTagPr>
        <w:r>
          <w:rPr>
            <w:sz w:val="22"/>
            <w:szCs w:val="22"/>
          </w:rPr>
          <w:t>la Red</w:t>
        </w:r>
      </w:smartTag>
      <w:r>
        <w:rPr>
          <w:sz w:val="22"/>
          <w:szCs w:val="22"/>
        </w:rPr>
        <w:t xml:space="preserve"> de Alerta de Alimentos y Piensos (una notificaciones relacionada con la detección de </w:t>
      </w:r>
      <w:proofErr w:type="spellStart"/>
      <w:r>
        <w:rPr>
          <w:sz w:val="22"/>
          <w:szCs w:val="22"/>
        </w:rPr>
        <w:t>gosipol</w:t>
      </w:r>
      <w:proofErr w:type="spellEnd"/>
      <w:r>
        <w:rPr>
          <w:sz w:val="22"/>
          <w:szCs w:val="22"/>
        </w:rPr>
        <w:t xml:space="preserve"> libre en semilla de algodón; cinco por la detección de </w:t>
      </w:r>
      <w:proofErr w:type="spellStart"/>
      <w:r>
        <w:rPr>
          <w:sz w:val="22"/>
          <w:szCs w:val="22"/>
        </w:rPr>
        <w:t>enterobacterias</w:t>
      </w:r>
      <w:proofErr w:type="spellEnd"/>
      <w:r>
        <w:rPr>
          <w:sz w:val="22"/>
          <w:szCs w:val="22"/>
        </w:rPr>
        <w:t xml:space="preserve"> en harina de pescado, una infracción por fraude en el etiquetado de grasa bruta y 2 detecciones de Salmonella en piensos de origen vegetal), no habiendo sido considerada necesaria la divulgación al público de las mismas una vez valorada la naturaleza, gravedad y envergadura de los peligros detectados.</w:t>
      </w:r>
    </w:p>
    <w:p w:rsidR="00F805F8" w:rsidRDefault="00F805F8" w:rsidP="00F805F8">
      <w:pPr>
        <w:pStyle w:val="Textoindependiente"/>
        <w:rPr>
          <w:sz w:val="22"/>
          <w:szCs w:val="22"/>
        </w:rPr>
      </w:pPr>
    </w:p>
    <w:p w:rsidR="00F805F8" w:rsidRDefault="00F805F8" w:rsidP="00F805F8">
      <w:pPr>
        <w:pStyle w:val="Textoindependiente"/>
        <w:jc w:val="right"/>
        <w:rPr>
          <w:sz w:val="22"/>
          <w:szCs w:val="22"/>
        </w:rPr>
      </w:pPr>
      <w:r>
        <w:rPr>
          <w:sz w:val="22"/>
          <w:szCs w:val="22"/>
        </w:rPr>
        <w:t>Santander, a 12 de julio de 2019</w:t>
      </w:r>
    </w:p>
    <w:p w:rsidR="00F805F8" w:rsidRDefault="00F805F8" w:rsidP="00F805F8">
      <w:pPr>
        <w:pStyle w:val="Textoindependiente"/>
        <w:jc w:val="right"/>
        <w:rPr>
          <w:sz w:val="22"/>
          <w:szCs w:val="22"/>
        </w:rPr>
      </w:pPr>
    </w:p>
    <w:p w:rsidR="00F805F8" w:rsidRPr="0022252B" w:rsidRDefault="00F805F8" w:rsidP="00F805F8">
      <w:pPr>
        <w:pStyle w:val="Textoindependiente"/>
        <w:rPr>
          <w:b/>
          <w:sz w:val="22"/>
          <w:szCs w:val="22"/>
        </w:rPr>
      </w:pPr>
      <w:r>
        <w:rPr>
          <w:b/>
          <w:sz w:val="22"/>
          <w:szCs w:val="22"/>
        </w:rPr>
        <w:t>CONSEJERÍA DE DESARROLLO</w:t>
      </w:r>
      <w:r w:rsidRPr="00032344">
        <w:rPr>
          <w:b/>
          <w:sz w:val="22"/>
          <w:szCs w:val="22"/>
        </w:rPr>
        <w:t xml:space="preserve"> </w:t>
      </w:r>
      <w:r w:rsidRPr="0022252B">
        <w:rPr>
          <w:b/>
          <w:sz w:val="22"/>
          <w:szCs w:val="22"/>
        </w:rPr>
        <w:t>RURAL</w:t>
      </w:r>
      <w:r>
        <w:rPr>
          <w:b/>
          <w:sz w:val="22"/>
          <w:szCs w:val="22"/>
        </w:rPr>
        <w:t>, GANADERÍA, PESCA, ALIMENTACIÓN</w:t>
      </w:r>
      <w:r w:rsidRPr="0022252B">
        <w:rPr>
          <w:b/>
          <w:sz w:val="22"/>
          <w:szCs w:val="22"/>
        </w:rPr>
        <w:t xml:space="preserve"> </w:t>
      </w:r>
      <w:r>
        <w:rPr>
          <w:b/>
          <w:sz w:val="22"/>
          <w:szCs w:val="22"/>
        </w:rPr>
        <w:t>Y MEDIO AMBIENTE</w:t>
      </w:r>
    </w:p>
    <w:p w:rsidR="00F805F8" w:rsidRDefault="00F805F8" w:rsidP="00F805F8">
      <w:pPr>
        <w:pStyle w:val="Textoindependiente"/>
        <w:rPr>
          <w:b/>
          <w:sz w:val="22"/>
          <w:szCs w:val="22"/>
        </w:rPr>
      </w:pPr>
      <w:r w:rsidRPr="0022252B">
        <w:rPr>
          <w:b/>
          <w:sz w:val="22"/>
          <w:szCs w:val="22"/>
        </w:rPr>
        <w:t xml:space="preserve">DIRECCIÓN GENERAL DE GANADERÍA </w:t>
      </w:r>
      <w:r>
        <w:rPr>
          <w:b/>
          <w:sz w:val="22"/>
          <w:szCs w:val="22"/>
        </w:rPr>
        <w:t>Y DESARROLLO RURAL</w:t>
      </w:r>
    </w:p>
    <w:p w:rsidR="00E85A4C" w:rsidRDefault="00F805F8" w:rsidP="00F805F8">
      <w:pPr>
        <w:pStyle w:val="Textoindependiente"/>
      </w:pPr>
      <w:r w:rsidRPr="0022252B">
        <w:rPr>
          <w:b/>
          <w:sz w:val="22"/>
          <w:szCs w:val="22"/>
        </w:rPr>
        <w:t>SERVICIO DE PRODUCCIÓN ANIMAL</w:t>
      </w:r>
    </w:p>
    <w:sectPr w:rsidR="00E85A4C" w:rsidSect="00A50970">
      <w:headerReference w:type="default" r:id="rId9"/>
      <w:pgSz w:w="11906" w:h="16838"/>
      <w:pgMar w:top="1134" w:right="1287" w:bottom="89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17" w:type="dxa"/>
      <w:tblCellMar>
        <w:left w:w="0" w:type="dxa"/>
        <w:right w:w="0" w:type="dxa"/>
      </w:tblCellMar>
      <w:tblLook w:val="0000" w:firstRow="0" w:lastRow="0" w:firstColumn="0" w:lastColumn="0" w:noHBand="0" w:noVBand="0"/>
    </w:tblPr>
    <w:tblGrid>
      <w:gridCol w:w="3435"/>
      <w:gridCol w:w="3444"/>
      <w:gridCol w:w="2438"/>
    </w:tblGrid>
    <w:tr w:rsidR="007F0DF4" w:rsidTr="00576FAC">
      <w:trPr>
        <w:trHeight w:val="867"/>
      </w:trPr>
      <w:tc>
        <w:tcPr>
          <w:tcW w:w="3435" w:type="dxa"/>
          <w:tcMar>
            <w:top w:w="0" w:type="dxa"/>
            <w:left w:w="108" w:type="dxa"/>
            <w:bottom w:w="0" w:type="dxa"/>
            <w:right w:w="108" w:type="dxa"/>
          </w:tcMar>
        </w:tcPr>
        <w:p w:rsidR="007F0DF4" w:rsidRPr="007C7789" w:rsidRDefault="00F805F8" w:rsidP="00E26C52">
          <w:pPr>
            <w:pStyle w:val="Encabezado"/>
            <w:ind w:left="-540"/>
            <w:jc w:val="center"/>
            <w:rPr>
              <w:rFonts w:cs="Arial"/>
              <w:b/>
              <w:bCs/>
              <w:sz w:val="14"/>
              <w:szCs w:val="14"/>
            </w:rPr>
          </w:pPr>
          <w:r w:rsidRPr="007C7789">
            <w:rPr>
              <w:rFonts w:cs="Arial"/>
              <w:b/>
              <w:bCs/>
              <w:sz w:val="14"/>
              <w:szCs w:val="14"/>
            </w:rPr>
            <w:fldChar w:fldCharType="begin"/>
          </w:r>
          <w:r w:rsidRPr="007C7789">
            <w:rPr>
              <w:rFonts w:cs="Arial"/>
              <w:b/>
              <w:bCs/>
              <w:sz w:val="14"/>
              <w:szCs w:val="14"/>
            </w:rPr>
            <w:instrText xml:space="preserve"> INCLUDEPICTURE "</w:instrText>
          </w:r>
          <w:r w:rsidRPr="007C7789">
            <w:rPr>
              <w:rFonts w:cs="Arial"/>
              <w:b/>
              <w:bCs/>
              <w:sz w:val="14"/>
              <w:szCs w:val="14"/>
            </w:rPr>
            <w:instrText xml:space="preserve">cid:image001.jpg@01C7D360.992CA6F0" \* MERGEFORMATINET </w:instrText>
          </w:r>
          <w:r w:rsidRPr="007C7789">
            <w:rPr>
              <w:rFonts w:cs="Arial"/>
              <w:b/>
              <w:bCs/>
              <w:sz w:val="14"/>
              <w:szCs w:val="14"/>
            </w:rPr>
            <w:fldChar w:fldCharType="separate"/>
          </w:r>
          <w:r w:rsidRPr="007C7789">
            <w:rPr>
              <w:rFonts w:cs="Arial"/>
              <w:b/>
              <w:bCs/>
              <w:sz w:val="14"/>
              <w:szCs w:val="1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57.45pt">
                <v:imagedata r:id="rId1" r:href="rId2"/>
              </v:shape>
            </w:pict>
          </w:r>
          <w:r w:rsidRPr="007C7789">
            <w:rPr>
              <w:rFonts w:cs="Arial"/>
              <w:b/>
              <w:bCs/>
              <w:sz w:val="14"/>
              <w:szCs w:val="14"/>
            </w:rPr>
            <w:fldChar w:fldCharType="end"/>
          </w:r>
        </w:p>
      </w:tc>
      <w:tc>
        <w:tcPr>
          <w:tcW w:w="3444" w:type="dxa"/>
          <w:vMerge w:val="restart"/>
          <w:tcMar>
            <w:top w:w="0" w:type="dxa"/>
            <w:left w:w="108" w:type="dxa"/>
            <w:bottom w:w="0" w:type="dxa"/>
            <w:right w:w="108" w:type="dxa"/>
          </w:tcMar>
        </w:tcPr>
        <w:p w:rsidR="007F0DF4" w:rsidRDefault="00F805F8" w:rsidP="00EB7811">
          <w:pPr>
            <w:pStyle w:val="Encabezado"/>
            <w:jc w:val="right"/>
          </w:pPr>
        </w:p>
      </w:tc>
      <w:tc>
        <w:tcPr>
          <w:tcW w:w="2438" w:type="dxa"/>
          <w:vMerge w:val="restart"/>
          <w:tcMar>
            <w:top w:w="0" w:type="dxa"/>
            <w:left w:w="108" w:type="dxa"/>
            <w:bottom w:w="0" w:type="dxa"/>
            <w:right w:w="108" w:type="dxa"/>
          </w:tcMar>
        </w:tcPr>
        <w:p w:rsidR="007F0DF4" w:rsidRDefault="00F805F8" w:rsidP="00EB7811">
          <w:pPr>
            <w:pStyle w:val="Encabezado"/>
            <w:jc w:val="center"/>
          </w:pPr>
        </w:p>
        <w:p w:rsidR="007F0DF4" w:rsidRDefault="00F805F8" w:rsidP="00EB7811">
          <w:pPr>
            <w:pStyle w:val="Encabezado"/>
            <w:jc w:val="right"/>
          </w:pPr>
        </w:p>
      </w:tc>
    </w:tr>
    <w:tr w:rsidR="007F0DF4" w:rsidRPr="00533B01" w:rsidTr="00576FAC">
      <w:trPr>
        <w:trHeight w:val="1068"/>
      </w:trPr>
      <w:tc>
        <w:tcPr>
          <w:tcW w:w="3435" w:type="dxa"/>
          <w:tcMar>
            <w:top w:w="0" w:type="dxa"/>
            <w:left w:w="108" w:type="dxa"/>
            <w:bottom w:w="0" w:type="dxa"/>
            <w:right w:w="108" w:type="dxa"/>
          </w:tcMar>
        </w:tcPr>
        <w:p w:rsidR="007F0DF4" w:rsidRPr="007C7789" w:rsidRDefault="00F805F8" w:rsidP="00EB7811">
          <w:pPr>
            <w:pStyle w:val="Encabezado"/>
            <w:jc w:val="center"/>
            <w:rPr>
              <w:rFonts w:cs="Arial"/>
              <w:b/>
              <w:bCs/>
              <w:sz w:val="14"/>
              <w:szCs w:val="14"/>
            </w:rPr>
          </w:pPr>
        </w:p>
        <w:p w:rsidR="007F0DF4" w:rsidRPr="007C7789" w:rsidRDefault="00F805F8" w:rsidP="00BF6B76">
          <w:pPr>
            <w:pStyle w:val="Encabezado"/>
            <w:jc w:val="center"/>
            <w:rPr>
              <w:rFonts w:cs="Arial"/>
              <w:b/>
              <w:bCs/>
              <w:sz w:val="14"/>
              <w:szCs w:val="14"/>
            </w:rPr>
          </w:pPr>
          <w:r>
            <w:rPr>
              <w:rFonts w:cs="Arial"/>
              <w:b/>
              <w:bCs/>
              <w:sz w:val="14"/>
              <w:szCs w:val="14"/>
            </w:rPr>
            <w:t>CONSEJERÍA DE DESARROLLO</w:t>
          </w:r>
          <w:r>
            <w:rPr>
              <w:rFonts w:cs="Arial"/>
              <w:b/>
              <w:bCs/>
              <w:sz w:val="14"/>
              <w:szCs w:val="14"/>
            </w:rPr>
            <w:t xml:space="preserve"> </w:t>
          </w:r>
          <w:r w:rsidRPr="007C7789">
            <w:rPr>
              <w:rFonts w:cs="Arial"/>
              <w:b/>
              <w:bCs/>
              <w:sz w:val="14"/>
              <w:szCs w:val="14"/>
            </w:rPr>
            <w:t xml:space="preserve">RURAL, </w:t>
          </w:r>
          <w:r>
            <w:rPr>
              <w:rFonts w:cs="Arial"/>
              <w:b/>
              <w:bCs/>
              <w:sz w:val="14"/>
              <w:szCs w:val="14"/>
            </w:rPr>
            <w:t xml:space="preserve">GANADERÍA, </w:t>
          </w:r>
          <w:r w:rsidRPr="007C7789">
            <w:rPr>
              <w:rFonts w:cs="Arial"/>
              <w:b/>
              <w:bCs/>
              <w:sz w:val="14"/>
              <w:szCs w:val="14"/>
            </w:rPr>
            <w:t>PESCA</w:t>
          </w:r>
          <w:r>
            <w:rPr>
              <w:rFonts w:cs="Arial"/>
              <w:b/>
              <w:bCs/>
              <w:sz w:val="14"/>
              <w:szCs w:val="14"/>
            </w:rPr>
            <w:t xml:space="preserve">, </w:t>
          </w:r>
          <w:r>
            <w:rPr>
              <w:rFonts w:cs="Arial"/>
              <w:b/>
              <w:bCs/>
              <w:sz w:val="14"/>
              <w:szCs w:val="14"/>
            </w:rPr>
            <w:t>ALIMENTACIÓN</w:t>
          </w:r>
          <w:r>
            <w:rPr>
              <w:rFonts w:cs="Arial"/>
              <w:b/>
              <w:bCs/>
              <w:sz w:val="14"/>
              <w:szCs w:val="14"/>
            </w:rPr>
            <w:t xml:space="preserve"> Y MEDIO AMBIENTE</w:t>
          </w:r>
          <w:r w:rsidRPr="007C7789">
            <w:rPr>
              <w:rFonts w:cs="Arial"/>
              <w:b/>
              <w:bCs/>
              <w:sz w:val="14"/>
              <w:szCs w:val="14"/>
            </w:rPr>
            <w:t xml:space="preserve"> </w:t>
          </w:r>
        </w:p>
        <w:p w:rsidR="007F0DF4" w:rsidRPr="007C7789" w:rsidRDefault="00F805F8" w:rsidP="00EB7811">
          <w:pPr>
            <w:pStyle w:val="Encabezado"/>
            <w:jc w:val="center"/>
            <w:rPr>
              <w:rFonts w:cs="Arial"/>
              <w:b/>
              <w:bCs/>
              <w:sz w:val="14"/>
              <w:szCs w:val="14"/>
            </w:rPr>
          </w:pPr>
          <w:r w:rsidRPr="007C7789">
            <w:rPr>
              <w:rFonts w:cs="Arial"/>
              <w:b/>
              <w:bCs/>
              <w:sz w:val="14"/>
              <w:szCs w:val="14"/>
            </w:rPr>
            <w:t>-----------------------------------------</w:t>
          </w:r>
        </w:p>
        <w:p w:rsidR="007F0DF4" w:rsidRDefault="00F805F8" w:rsidP="00EB7811">
          <w:pPr>
            <w:pStyle w:val="Encabezado"/>
            <w:jc w:val="center"/>
            <w:rPr>
              <w:rFonts w:cs="Arial"/>
              <w:b/>
              <w:bCs/>
              <w:sz w:val="14"/>
              <w:szCs w:val="14"/>
            </w:rPr>
          </w:pPr>
          <w:r>
            <w:rPr>
              <w:rFonts w:cs="Arial"/>
              <w:b/>
              <w:bCs/>
              <w:sz w:val="14"/>
              <w:szCs w:val="14"/>
            </w:rPr>
            <w:t xml:space="preserve">DIRECCIÓN GENERAL DE </w:t>
          </w:r>
          <w:r w:rsidRPr="007C7789">
            <w:rPr>
              <w:rFonts w:cs="Arial"/>
              <w:b/>
              <w:bCs/>
              <w:sz w:val="14"/>
              <w:szCs w:val="14"/>
            </w:rPr>
            <w:t>GANADERÍA</w:t>
          </w:r>
        </w:p>
        <w:p w:rsidR="008C225D" w:rsidRPr="007C7789" w:rsidRDefault="00F805F8" w:rsidP="00EB7811">
          <w:pPr>
            <w:pStyle w:val="Encabezado"/>
            <w:jc w:val="center"/>
            <w:rPr>
              <w:rFonts w:cs="Arial"/>
              <w:b/>
              <w:bCs/>
              <w:sz w:val="14"/>
              <w:szCs w:val="14"/>
            </w:rPr>
          </w:pPr>
          <w:r>
            <w:rPr>
              <w:rFonts w:cs="Arial"/>
              <w:b/>
              <w:bCs/>
              <w:sz w:val="14"/>
              <w:szCs w:val="14"/>
            </w:rPr>
            <w:t>Y DESARROLLO RURAL</w:t>
          </w:r>
        </w:p>
        <w:p w:rsidR="007F0DF4" w:rsidRPr="007C7789" w:rsidRDefault="00F805F8" w:rsidP="00EB7811">
          <w:pPr>
            <w:pStyle w:val="Encabezado"/>
            <w:jc w:val="center"/>
            <w:rPr>
              <w:rFonts w:cs="Arial"/>
              <w:b/>
              <w:bCs/>
              <w:sz w:val="14"/>
              <w:szCs w:val="14"/>
            </w:rPr>
          </w:pPr>
          <w:r w:rsidRPr="007C7789">
            <w:rPr>
              <w:rFonts w:cs="Arial"/>
              <w:b/>
              <w:bCs/>
              <w:sz w:val="14"/>
              <w:szCs w:val="14"/>
            </w:rPr>
            <w:t>-------------------</w:t>
          </w:r>
          <w:r w:rsidRPr="007C7789">
            <w:rPr>
              <w:rFonts w:cs="Arial"/>
              <w:b/>
              <w:bCs/>
              <w:sz w:val="14"/>
              <w:szCs w:val="14"/>
            </w:rPr>
            <w:t>----------------------</w:t>
          </w:r>
        </w:p>
        <w:p w:rsidR="007F0DF4" w:rsidRPr="00BB49F7" w:rsidRDefault="00F805F8" w:rsidP="00F64F0B">
          <w:pPr>
            <w:pStyle w:val="Encabezado"/>
            <w:jc w:val="center"/>
            <w:rPr>
              <w:rFonts w:cs="Arial"/>
              <w:b/>
              <w:bCs/>
              <w:sz w:val="14"/>
              <w:szCs w:val="14"/>
            </w:rPr>
          </w:pPr>
          <w:r w:rsidRPr="007C7789">
            <w:rPr>
              <w:rFonts w:cs="Arial"/>
              <w:b/>
              <w:bCs/>
              <w:sz w:val="14"/>
              <w:szCs w:val="14"/>
            </w:rPr>
            <w:t>SE</w:t>
          </w:r>
          <w:r>
            <w:rPr>
              <w:rFonts w:cs="Arial"/>
              <w:b/>
              <w:bCs/>
              <w:sz w:val="14"/>
              <w:szCs w:val="14"/>
            </w:rPr>
            <w:t>RVICIO DE PRODUCCIÓN ANIMAL</w:t>
          </w:r>
        </w:p>
      </w:tc>
      <w:tc>
        <w:tcPr>
          <w:tcW w:w="3444" w:type="dxa"/>
          <w:vMerge/>
          <w:vAlign w:val="center"/>
        </w:tcPr>
        <w:p w:rsidR="007F0DF4" w:rsidRPr="00533B01" w:rsidRDefault="00F805F8" w:rsidP="00EB7811">
          <w:pPr>
            <w:rPr>
              <w:lang w:val="en-GB"/>
            </w:rPr>
          </w:pPr>
        </w:p>
      </w:tc>
      <w:tc>
        <w:tcPr>
          <w:tcW w:w="0" w:type="auto"/>
          <w:vMerge/>
          <w:vAlign w:val="center"/>
        </w:tcPr>
        <w:p w:rsidR="007F0DF4" w:rsidRPr="00533B01" w:rsidRDefault="00F805F8" w:rsidP="00EB7811">
          <w:pPr>
            <w:rPr>
              <w:lang w:val="en-GB"/>
            </w:rPr>
          </w:pPr>
        </w:p>
      </w:tc>
    </w:tr>
  </w:tbl>
  <w:p w:rsidR="007F0DF4" w:rsidRDefault="00F805F8" w:rsidP="004459E6">
    <w:pPr>
      <w:rPr>
        <w:lang w:val="en-GB"/>
      </w:rPr>
    </w:pPr>
    <w:r>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074E7"/>
    <w:multiLevelType w:val="hybridMultilevel"/>
    <w:tmpl w:val="0A3C08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BA038F5"/>
    <w:multiLevelType w:val="hybridMultilevel"/>
    <w:tmpl w:val="E004B91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3C5F448F"/>
    <w:multiLevelType w:val="hybridMultilevel"/>
    <w:tmpl w:val="9A2E56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F101672"/>
    <w:multiLevelType w:val="hybridMultilevel"/>
    <w:tmpl w:val="2C6A467A"/>
    <w:lvl w:ilvl="0" w:tplc="B0E4886E">
      <w:start w:val="1"/>
      <w:numFmt w:val="bullet"/>
      <w:lvlText w:val="•"/>
      <w:lvlJc w:val="left"/>
      <w:pPr>
        <w:tabs>
          <w:tab w:val="num" w:pos="720"/>
        </w:tabs>
        <w:ind w:left="720" w:hanging="360"/>
      </w:pPr>
      <w:rPr>
        <w:rFonts w:ascii="Times New Roman" w:hAnsi="Times New Roman" w:hint="default"/>
      </w:rPr>
    </w:lvl>
    <w:lvl w:ilvl="1" w:tplc="0C0A000F">
      <w:start w:val="1"/>
      <w:numFmt w:val="decimal"/>
      <w:lvlText w:val="%2."/>
      <w:lvlJc w:val="left"/>
      <w:pPr>
        <w:tabs>
          <w:tab w:val="num" w:pos="1440"/>
        </w:tabs>
        <w:ind w:left="1440" w:hanging="360"/>
      </w:pPr>
      <w:rPr>
        <w:rFonts w:hint="default"/>
      </w:rPr>
    </w:lvl>
    <w:lvl w:ilvl="2" w:tplc="BF6C28F4" w:tentative="1">
      <w:start w:val="1"/>
      <w:numFmt w:val="bullet"/>
      <w:lvlText w:val="•"/>
      <w:lvlJc w:val="left"/>
      <w:pPr>
        <w:tabs>
          <w:tab w:val="num" w:pos="2160"/>
        </w:tabs>
        <w:ind w:left="2160" w:hanging="360"/>
      </w:pPr>
      <w:rPr>
        <w:rFonts w:ascii="Times New Roman" w:hAnsi="Times New Roman" w:hint="default"/>
      </w:rPr>
    </w:lvl>
    <w:lvl w:ilvl="3" w:tplc="8CB21B98" w:tentative="1">
      <w:start w:val="1"/>
      <w:numFmt w:val="bullet"/>
      <w:lvlText w:val="•"/>
      <w:lvlJc w:val="left"/>
      <w:pPr>
        <w:tabs>
          <w:tab w:val="num" w:pos="2880"/>
        </w:tabs>
        <w:ind w:left="2880" w:hanging="360"/>
      </w:pPr>
      <w:rPr>
        <w:rFonts w:ascii="Times New Roman" w:hAnsi="Times New Roman" w:hint="default"/>
      </w:rPr>
    </w:lvl>
    <w:lvl w:ilvl="4" w:tplc="0FF6CE90" w:tentative="1">
      <w:start w:val="1"/>
      <w:numFmt w:val="bullet"/>
      <w:lvlText w:val="•"/>
      <w:lvlJc w:val="left"/>
      <w:pPr>
        <w:tabs>
          <w:tab w:val="num" w:pos="3600"/>
        </w:tabs>
        <w:ind w:left="3600" w:hanging="360"/>
      </w:pPr>
      <w:rPr>
        <w:rFonts w:ascii="Times New Roman" w:hAnsi="Times New Roman" w:hint="default"/>
      </w:rPr>
    </w:lvl>
    <w:lvl w:ilvl="5" w:tplc="19227980" w:tentative="1">
      <w:start w:val="1"/>
      <w:numFmt w:val="bullet"/>
      <w:lvlText w:val="•"/>
      <w:lvlJc w:val="left"/>
      <w:pPr>
        <w:tabs>
          <w:tab w:val="num" w:pos="4320"/>
        </w:tabs>
        <w:ind w:left="4320" w:hanging="360"/>
      </w:pPr>
      <w:rPr>
        <w:rFonts w:ascii="Times New Roman" w:hAnsi="Times New Roman" w:hint="default"/>
      </w:rPr>
    </w:lvl>
    <w:lvl w:ilvl="6" w:tplc="A92C67F2" w:tentative="1">
      <w:start w:val="1"/>
      <w:numFmt w:val="bullet"/>
      <w:lvlText w:val="•"/>
      <w:lvlJc w:val="left"/>
      <w:pPr>
        <w:tabs>
          <w:tab w:val="num" w:pos="5040"/>
        </w:tabs>
        <w:ind w:left="5040" w:hanging="360"/>
      </w:pPr>
      <w:rPr>
        <w:rFonts w:ascii="Times New Roman" w:hAnsi="Times New Roman" w:hint="default"/>
      </w:rPr>
    </w:lvl>
    <w:lvl w:ilvl="7" w:tplc="2AF088A6" w:tentative="1">
      <w:start w:val="1"/>
      <w:numFmt w:val="bullet"/>
      <w:lvlText w:val="•"/>
      <w:lvlJc w:val="left"/>
      <w:pPr>
        <w:tabs>
          <w:tab w:val="num" w:pos="5760"/>
        </w:tabs>
        <w:ind w:left="5760" w:hanging="360"/>
      </w:pPr>
      <w:rPr>
        <w:rFonts w:ascii="Times New Roman" w:hAnsi="Times New Roman" w:hint="default"/>
      </w:rPr>
    </w:lvl>
    <w:lvl w:ilvl="8" w:tplc="C23C2B0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6A6C70F8"/>
    <w:multiLevelType w:val="hybridMultilevel"/>
    <w:tmpl w:val="1B5C04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F8"/>
    <w:rsid w:val="00E85A4C"/>
    <w:rsid w:val="00F805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AE52942-58B3-4448-A04E-894A3EF7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5F8"/>
    <w:pPr>
      <w:spacing w:after="0" w:line="240" w:lineRule="auto"/>
    </w:pPr>
    <w:rPr>
      <w:rFonts w:ascii="Arial" w:eastAsia="Times New Roman" w:hAnsi="Arial"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805F8"/>
    <w:pPr>
      <w:tabs>
        <w:tab w:val="center" w:pos="4252"/>
        <w:tab w:val="right" w:pos="8504"/>
      </w:tabs>
    </w:pPr>
  </w:style>
  <w:style w:type="character" w:customStyle="1" w:styleId="EncabezadoCar">
    <w:name w:val="Encabezado Car"/>
    <w:basedOn w:val="Fuentedeprrafopredeter"/>
    <w:link w:val="Encabezado"/>
    <w:rsid w:val="00F805F8"/>
    <w:rPr>
      <w:rFonts w:ascii="Arial" w:eastAsia="Times New Roman" w:hAnsi="Arial" w:cs="Times New Roman"/>
      <w:sz w:val="24"/>
      <w:szCs w:val="24"/>
      <w:lang w:eastAsia="es-ES"/>
    </w:rPr>
  </w:style>
  <w:style w:type="paragraph" w:styleId="Textoindependiente">
    <w:name w:val="Body Text"/>
    <w:basedOn w:val="Normal"/>
    <w:link w:val="TextoindependienteCar"/>
    <w:rsid w:val="00F805F8"/>
    <w:pPr>
      <w:jc w:val="both"/>
    </w:pPr>
    <w:rPr>
      <w:rFonts w:ascii="Times New Roman" w:hAnsi="Times New Roman"/>
      <w:szCs w:val="20"/>
    </w:rPr>
  </w:style>
  <w:style w:type="character" w:customStyle="1" w:styleId="TextoindependienteCar">
    <w:name w:val="Texto independiente Car"/>
    <w:basedOn w:val="Fuentedeprrafopredeter"/>
    <w:link w:val="Textoindependiente"/>
    <w:rsid w:val="00F805F8"/>
    <w:rPr>
      <w:rFonts w:ascii="Times New Roman" w:eastAsia="Times New Roman" w:hAnsi="Times New Roman" w:cs="Times New Roman"/>
      <w:sz w:val="24"/>
      <w:szCs w:val="20"/>
      <w:lang w:eastAsia="es-ES"/>
    </w:rPr>
  </w:style>
  <w:style w:type="paragraph" w:styleId="Textoindependiente3">
    <w:name w:val="Body Text 3"/>
    <w:basedOn w:val="Normal"/>
    <w:link w:val="Textoindependiente3Car"/>
    <w:rsid w:val="00F805F8"/>
    <w:pPr>
      <w:spacing w:after="120"/>
    </w:pPr>
    <w:rPr>
      <w:rFonts w:ascii="Times New Roman" w:eastAsia="SimSun" w:hAnsi="Times New Roman"/>
      <w:sz w:val="16"/>
      <w:szCs w:val="16"/>
      <w:lang w:eastAsia="zh-CN"/>
    </w:rPr>
  </w:style>
  <w:style w:type="character" w:customStyle="1" w:styleId="Textoindependiente3Car">
    <w:name w:val="Texto independiente 3 Car"/>
    <w:basedOn w:val="Fuentedeprrafopredeter"/>
    <w:link w:val="Textoindependiente3"/>
    <w:rsid w:val="00F805F8"/>
    <w:rPr>
      <w:rFonts w:ascii="Times New Roman" w:eastAsia="SimSun" w:hAnsi="Times New Roman" w:cs="Times New Roman"/>
      <w:sz w:val="16"/>
      <w:szCs w:val="16"/>
      <w:lang w:eastAsia="zh-CN"/>
    </w:rPr>
  </w:style>
  <w:style w:type="character" w:styleId="Hipervnculo">
    <w:name w:val="Hyperlink"/>
    <w:rsid w:val="00F805F8"/>
    <w:rPr>
      <w:color w:val="0000FF"/>
      <w:u w:val="single"/>
    </w:rPr>
  </w:style>
  <w:style w:type="paragraph" w:styleId="Prrafodelista">
    <w:name w:val="List Paragraph"/>
    <w:basedOn w:val="Normal"/>
    <w:uiPriority w:val="34"/>
    <w:qFormat/>
    <w:rsid w:val="00F805F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io.mapama.gob.es/sandach/Establecimientos/Estab.aspx" TargetMode="External"/><Relationship Id="rId3" Type="http://schemas.openxmlformats.org/officeDocument/2006/relationships/settings" Target="settings.xml"/><Relationship Id="rId7" Type="http://schemas.openxmlformats.org/officeDocument/2006/relationships/hyperlink" Target="https://www.google.com/url?sa=i&amp;source=images&amp;cd=&amp;ved=2ahUKEwjLn-vP0JbbAhVI1RQKHXWKCzsQjRx6BAgBEAU&amp;url=http://www.campogalego.com/es/leche/8-recomendaciones-para-mejorar-la-conducta-alimentaria-del-vacuno-de-leche/&amp;psig=AOvVaw14GFoSyz-iLxev3_ZmNSR1&amp;ust=15269859283096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google.com/url?sa=i&amp;rct=j&amp;q=&amp;esrc=s&amp;source=images&amp;cd=&amp;ved=2ahUKEwiewPTwt6_jAhVRzBoKHTH0CjMQjRx6BAgBEAU&amp;url=https%3A%2F%2Fwww.retema.es%2Fnoticia%2Fun-innovador-software-permitira-evaluar-el-impacto-ambiental-de-explotaciones-ganader-soZH&amp;psig=AOvVaw1V0ElY3PI6t-0Drvb9kGK1&amp;ust=156302281889346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7D360.992CA6F0" TargetMode="External"/><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1558</Words>
  <Characters>8575</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10113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López Gómez María Isabel</cp:lastModifiedBy>
  <cp:revision>1</cp:revision>
  <dcterms:created xsi:type="dcterms:W3CDTF">2019-07-16T08:16:00Z</dcterms:created>
  <dcterms:modified xsi:type="dcterms:W3CDTF">2019-07-16T08:20:00Z</dcterms:modified>
</cp:coreProperties>
</file>